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0"/>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0"/>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pPr>
        <w:pStyle w:val="30"/>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37</w:t>
      </w:r>
      <w:r>
        <w:fldChar w:fldCharType="end"/>
      </w:r>
      <w:r>
        <w:fldChar w:fldCharType="end"/>
      </w:r>
    </w:p>
    <w:p>
      <w:pPr>
        <w:pStyle w:val="30"/>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37</w:t>
      </w:r>
      <w:r>
        <w:fldChar w:fldCharType="end"/>
      </w:r>
      <w:r>
        <w:fldChar w:fldCharType="end"/>
      </w:r>
    </w:p>
    <w:p>
      <w:pPr>
        <w:pStyle w:val="30"/>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38</w:t>
      </w:r>
      <w:r>
        <w:fldChar w:fldCharType="end"/>
      </w:r>
      <w:r>
        <w:fldChar w:fldCharType="end"/>
      </w:r>
    </w:p>
    <w:p>
      <w:pPr>
        <w:pStyle w:val="30"/>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39</w:t>
      </w:r>
      <w:r>
        <w:fldChar w:fldCharType="end"/>
      </w:r>
      <w:r>
        <w:fldChar w:fldCharType="end"/>
      </w:r>
    </w:p>
    <w:p>
      <w:pPr>
        <w:tabs>
          <w:tab w:val="left" w:pos="3090"/>
        </w:tabs>
      </w:pPr>
      <w:r>
        <w:fldChar w:fldCharType="end"/>
      </w:r>
      <w:r>
        <w:tab/>
      </w: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hint="eastAsia" w:ascii="方正小标宋_GBK" w:hAnsi="方正小标宋_GBK" w:cs="方正小标宋_GBK" w:eastAsiaTheme="minorEastAsia"/>
          <w:color w:val="000000"/>
          <w:sz w:val="72"/>
          <w:lang w:eastAsia="zh-CN"/>
        </w:rPr>
      </w:pPr>
      <w:bookmarkStart w:id="0" w:name="_Toc_2_2_0000000001"/>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rPr>
          <w:rFonts w:hint="eastAsia" w:ascii="方正小标宋_GBK" w:hAnsi="方正小标宋_GBK" w:cs="方正小标宋_GBK" w:eastAsiaTheme="minorEastAsia"/>
          <w:color w:val="000000"/>
          <w:sz w:val="72"/>
          <w:lang w:eastAsia="zh-CN"/>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151深州市人民检察院</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114.66</w:t>
            </w:r>
          </w:p>
        </w:tc>
        <w:tc>
          <w:tcPr>
            <w:tcW w:w="4535" w:type="dxa"/>
            <w:vAlign w:val="center"/>
          </w:tcPr>
          <w:p>
            <w:pPr>
              <w:pStyle w:val="10"/>
            </w:pPr>
            <w:r>
              <w:t>一、一般公共服务支出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r>
              <w:t>114.66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114.66</w:t>
            </w:r>
          </w:p>
        </w:tc>
        <w:tc>
          <w:tcPr>
            <w:tcW w:w="4535" w:type="dxa"/>
            <w:vAlign w:val="center"/>
          </w:tcPr>
          <w:p>
            <w:pPr>
              <w:pStyle w:val="12"/>
            </w:pPr>
            <w:r>
              <w:t>本年支出合计</w:t>
            </w:r>
          </w:p>
        </w:tc>
        <w:tc>
          <w:tcPr>
            <w:tcW w:w="2126" w:type="dxa"/>
            <w:vAlign w:val="center"/>
          </w:tcPr>
          <w:p>
            <w:pPr>
              <w:pStyle w:val="13"/>
            </w:pPr>
            <w:r>
              <w:t>114.66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114.66</w:t>
            </w:r>
          </w:p>
        </w:tc>
        <w:tc>
          <w:tcPr>
            <w:tcW w:w="4535" w:type="dxa"/>
            <w:vAlign w:val="center"/>
          </w:tcPr>
          <w:p>
            <w:pPr>
              <w:pStyle w:val="12"/>
            </w:pPr>
            <w:r>
              <w:t>支出总计</w:t>
            </w:r>
          </w:p>
        </w:tc>
        <w:tc>
          <w:tcPr>
            <w:tcW w:w="2126" w:type="dxa"/>
            <w:vAlign w:val="center"/>
          </w:tcPr>
          <w:p>
            <w:pPr>
              <w:pStyle w:val="13"/>
            </w:pPr>
            <w:r>
              <w:t>114.66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151深州市人民检察院</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114.66</w:t>
            </w:r>
          </w:p>
        </w:tc>
        <w:tc>
          <w:tcPr>
            <w:tcW w:w="1134" w:type="dxa"/>
            <w:vAlign w:val="center"/>
          </w:tcPr>
          <w:p>
            <w:pPr>
              <w:pStyle w:val="13"/>
            </w:pPr>
            <w:r>
              <w:t>114.66</w:t>
            </w:r>
          </w:p>
        </w:tc>
        <w:tc>
          <w:tcPr>
            <w:tcW w:w="1134" w:type="dxa"/>
            <w:vAlign w:val="center"/>
          </w:tcPr>
          <w:p>
            <w:pPr>
              <w:pStyle w:val="13"/>
            </w:pPr>
            <w:r>
              <w:t>114.66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204</w:t>
            </w:r>
          </w:p>
        </w:tc>
        <w:tc>
          <w:tcPr>
            <w:tcW w:w="1559" w:type="dxa"/>
            <w:vAlign w:val="center"/>
          </w:tcPr>
          <w:p>
            <w:pPr>
              <w:pStyle w:val="10"/>
            </w:pPr>
            <w:r>
              <w:t>公共安全支出</w:t>
            </w:r>
          </w:p>
        </w:tc>
        <w:tc>
          <w:tcPr>
            <w:tcW w:w="1134" w:type="dxa"/>
            <w:vAlign w:val="center"/>
          </w:tcPr>
          <w:p>
            <w:pPr>
              <w:pStyle w:val="9"/>
            </w:pPr>
            <w:r>
              <w:t>114.66</w:t>
            </w:r>
          </w:p>
        </w:tc>
        <w:tc>
          <w:tcPr>
            <w:tcW w:w="1134" w:type="dxa"/>
            <w:vAlign w:val="center"/>
          </w:tcPr>
          <w:p>
            <w:pPr>
              <w:pStyle w:val="9"/>
            </w:pPr>
            <w:r>
              <w:t>114.66</w:t>
            </w:r>
          </w:p>
        </w:tc>
        <w:tc>
          <w:tcPr>
            <w:tcW w:w="1134" w:type="dxa"/>
            <w:vAlign w:val="center"/>
          </w:tcPr>
          <w:p>
            <w:pPr>
              <w:pStyle w:val="9"/>
            </w:pPr>
            <w:r>
              <w:t>114.66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20404</w:t>
            </w:r>
          </w:p>
        </w:tc>
        <w:tc>
          <w:tcPr>
            <w:tcW w:w="1559" w:type="dxa"/>
            <w:vAlign w:val="center"/>
          </w:tcPr>
          <w:p>
            <w:pPr>
              <w:pStyle w:val="10"/>
            </w:pPr>
            <w:r>
              <w:t>检察</w:t>
            </w:r>
          </w:p>
        </w:tc>
        <w:tc>
          <w:tcPr>
            <w:tcW w:w="1134" w:type="dxa"/>
            <w:vAlign w:val="center"/>
          </w:tcPr>
          <w:p>
            <w:pPr>
              <w:pStyle w:val="9"/>
            </w:pPr>
            <w:r>
              <w:t>114.66</w:t>
            </w:r>
          </w:p>
        </w:tc>
        <w:tc>
          <w:tcPr>
            <w:tcW w:w="1134" w:type="dxa"/>
            <w:vAlign w:val="center"/>
          </w:tcPr>
          <w:p>
            <w:pPr>
              <w:pStyle w:val="9"/>
            </w:pPr>
            <w:r>
              <w:t>114.66</w:t>
            </w:r>
          </w:p>
        </w:tc>
        <w:tc>
          <w:tcPr>
            <w:tcW w:w="1134" w:type="dxa"/>
            <w:vAlign w:val="center"/>
          </w:tcPr>
          <w:p>
            <w:pPr>
              <w:pStyle w:val="9"/>
            </w:pPr>
            <w:r>
              <w:t>114.66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2040499</w:t>
            </w:r>
          </w:p>
        </w:tc>
        <w:tc>
          <w:tcPr>
            <w:tcW w:w="1559" w:type="dxa"/>
            <w:vAlign w:val="center"/>
          </w:tcPr>
          <w:p>
            <w:pPr>
              <w:pStyle w:val="10"/>
            </w:pPr>
            <w:r>
              <w:t>其他检察支出</w:t>
            </w:r>
          </w:p>
        </w:tc>
        <w:tc>
          <w:tcPr>
            <w:tcW w:w="1134" w:type="dxa"/>
            <w:vAlign w:val="center"/>
          </w:tcPr>
          <w:p>
            <w:pPr>
              <w:pStyle w:val="9"/>
            </w:pPr>
            <w:r>
              <w:t>114.66</w:t>
            </w:r>
          </w:p>
        </w:tc>
        <w:tc>
          <w:tcPr>
            <w:tcW w:w="1134" w:type="dxa"/>
            <w:vAlign w:val="center"/>
          </w:tcPr>
          <w:p>
            <w:pPr>
              <w:pStyle w:val="9"/>
            </w:pPr>
            <w:r>
              <w:t>114.66</w:t>
            </w:r>
          </w:p>
        </w:tc>
        <w:tc>
          <w:tcPr>
            <w:tcW w:w="1134" w:type="dxa"/>
            <w:vAlign w:val="center"/>
          </w:tcPr>
          <w:p>
            <w:pPr>
              <w:pStyle w:val="9"/>
            </w:pPr>
            <w:r>
              <w:t>114.66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114.66</w:t>
            </w:r>
          </w:p>
        </w:tc>
        <w:tc>
          <w:tcPr>
            <w:tcW w:w="1361" w:type="dxa"/>
            <w:vAlign w:val="center"/>
          </w:tcPr>
          <w:p>
            <w:pPr>
              <w:pStyle w:val="13"/>
            </w:pPr>
          </w:p>
        </w:tc>
        <w:tc>
          <w:tcPr>
            <w:tcW w:w="1361" w:type="dxa"/>
            <w:vAlign w:val="center"/>
          </w:tcPr>
          <w:p>
            <w:pPr>
              <w:pStyle w:val="13"/>
            </w:pPr>
            <w:r>
              <w:t>114.66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204</w:t>
            </w:r>
          </w:p>
        </w:tc>
        <w:tc>
          <w:tcPr>
            <w:tcW w:w="4535" w:type="dxa"/>
            <w:vAlign w:val="center"/>
          </w:tcPr>
          <w:p>
            <w:pPr>
              <w:pStyle w:val="10"/>
            </w:pPr>
            <w:r>
              <w:t>公共安全支出</w:t>
            </w:r>
          </w:p>
        </w:tc>
        <w:tc>
          <w:tcPr>
            <w:tcW w:w="1361" w:type="dxa"/>
            <w:vAlign w:val="center"/>
          </w:tcPr>
          <w:p>
            <w:pPr>
              <w:pStyle w:val="9"/>
            </w:pPr>
            <w:r>
              <w:t>114.66</w:t>
            </w:r>
          </w:p>
        </w:tc>
        <w:tc>
          <w:tcPr>
            <w:tcW w:w="1361" w:type="dxa"/>
            <w:vAlign w:val="center"/>
          </w:tcPr>
          <w:p>
            <w:pPr>
              <w:pStyle w:val="9"/>
            </w:pPr>
          </w:p>
        </w:tc>
        <w:tc>
          <w:tcPr>
            <w:tcW w:w="1361" w:type="dxa"/>
            <w:vAlign w:val="center"/>
          </w:tcPr>
          <w:p>
            <w:pPr>
              <w:pStyle w:val="9"/>
            </w:pPr>
            <w:r>
              <w:t>114.66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20404</w:t>
            </w:r>
          </w:p>
        </w:tc>
        <w:tc>
          <w:tcPr>
            <w:tcW w:w="4535" w:type="dxa"/>
            <w:vAlign w:val="center"/>
          </w:tcPr>
          <w:p>
            <w:pPr>
              <w:pStyle w:val="10"/>
            </w:pPr>
            <w:r>
              <w:t>检察</w:t>
            </w:r>
          </w:p>
        </w:tc>
        <w:tc>
          <w:tcPr>
            <w:tcW w:w="1361" w:type="dxa"/>
            <w:vAlign w:val="center"/>
          </w:tcPr>
          <w:p>
            <w:pPr>
              <w:pStyle w:val="9"/>
            </w:pPr>
            <w:r>
              <w:t>114.66</w:t>
            </w:r>
          </w:p>
        </w:tc>
        <w:tc>
          <w:tcPr>
            <w:tcW w:w="1361" w:type="dxa"/>
            <w:vAlign w:val="center"/>
          </w:tcPr>
          <w:p>
            <w:pPr>
              <w:pStyle w:val="9"/>
            </w:pPr>
          </w:p>
        </w:tc>
        <w:tc>
          <w:tcPr>
            <w:tcW w:w="1361" w:type="dxa"/>
            <w:vAlign w:val="center"/>
          </w:tcPr>
          <w:p>
            <w:pPr>
              <w:pStyle w:val="9"/>
            </w:pPr>
            <w:r>
              <w:t>114.66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2040499</w:t>
            </w:r>
          </w:p>
        </w:tc>
        <w:tc>
          <w:tcPr>
            <w:tcW w:w="4535" w:type="dxa"/>
            <w:vAlign w:val="center"/>
          </w:tcPr>
          <w:p>
            <w:pPr>
              <w:pStyle w:val="10"/>
            </w:pPr>
            <w:r>
              <w:t>其他检察支出</w:t>
            </w:r>
          </w:p>
        </w:tc>
        <w:tc>
          <w:tcPr>
            <w:tcW w:w="1361" w:type="dxa"/>
            <w:vAlign w:val="center"/>
          </w:tcPr>
          <w:p>
            <w:pPr>
              <w:pStyle w:val="9"/>
            </w:pPr>
            <w:r>
              <w:t>114.66</w:t>
            </w:r>
          </w:p>
        </w:tc>
        <w:tc>
          <w:tcPr>
            <w:tcW w:w="1361" w:type="dxa"/>
            <w:vAlign w:val="center"/>
          </w:tcPr>
          <w:p>
            <w:pPr>
              <w:pStyle w:val="9"/>
            </w:pPr>
          </w:p>
        </w:tc>
        <w:tc>
          <w:tcPr>
            <w:tcW w:w="1361" w:type="dxa"/>
            <w:vAlign w:val="center"/>
          </w:tcPr>
          <w:p>
            <w:pPr>
              <w:pStyle w:val="9"/>
            </w:pPr>
            <w:r>
              <w:t>114.66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114.66</w:t>
            </w:r>
          </w:p>
        </w:tc>
        <w:tc>
          <w:tcPr>
            <w:tcW w:w="3402" w:type="dxa"/>
            <w:vAlign w:val="center"/>
          </w:tcPr>
          <w:p>
            <w:pPr>
              <w:pStyle w:val="10"/>
            </w:pPr>
            <w:r>
              <w:t>一、一般公共服务支出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r>
              <w:t>114.66</w:t>
            </w:r>
          </w:p>
        </w:tc>
        <w:tc>
          <w:tcPr>
            <w:tcW w:w="1474" w:type="dxa"/>
            <w:vAlign w:val="center"/>
          </w:tcPr>
          <w:p>
            <w:pPr>
              <w:pStyle w:val="9"/>
            </w:pPr>
            <w:r>
              <w:t>114.66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114.66</w:t>
            </w:r>
          </w:p>
        </w:tc>
        <w:tc>
          <w:tcPr>
            <w:tcW w:w="3402" w:type="dxa"/>
            <w:vAlign w:val="center"/>
          </w:tcPr>
          <w:p>
            <w:pPr>
              <w:pStyle w:val="12"/>
            </w:pPr>
            <w:r>
              <w:t>本年支出合计</w:t>
            </w:r>
          </w:p>
        </w:tc>
        <w:tc>
          <w:tcPr>
            <w:tcW w:w="1474" w:type="dxa"/>
            <w:vAlign w:val="center"/>
          </w:tcPr>
          <w:p>
            <w:pPr>
              <w:pStyle w:val="13"/>
            </w:pPr>
            <w:r>
              <w:t>114.66</w:t>
            </w:r>
          </w:p>
        </w:tc>
        <w:tc>
          <w:tcPr>
            <w:tcW w:w="1474" w:type="dxa"/>
            <w:vAlign w:val="center"/>
          </w:tcPr>
          <w:p>
            <w:pPr>
              <w:pStyle w:val="13"/>
            </w:pPr>
            <w:r>
              <w:t>114.66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114.66</w:t>
            </w:r>
          </w:p>
        </w:tc>
        <w:tc>
          <w:tcPr>
            <w:tcW w:w="3402" w:type="dxa"/>
            <w:vAlign w:val="center"/>
          </w:tcPr>
          <w:p>
            <w:pPr>
              <w:pStyle w:val="12"/>
            </w:pPr>
            <w:r>
              <w:t>支出总计</w:t>
            </w:r>
          </w:p>
        </w:tc>
        <w:tc>
          <w:tcPr>
            <w:tcW w:w="1474" w:type="dxa"/>
            <w:vAlign w:val="center"/>
          </w:tcPr>
          <w:p>
            <w:pPr>
              <w:pStyle w:val="13"/>
            </w:pPr>
            <w:r>
              <w:t>114.66</w:t>
            </w:r>
          </w:p>
        </w:tc>
        <w:tc>
          <w:tcPr>
            <w:tcW w:w="1474" w:type="dxa"/>
            <w:vAlign w:val="center"/>
          </w:tcPr>
          <w:p>
            <w:pPr>
              <w:pStyle w:val="13"/>
            </w:pPr>
            <w:r>
              <w:t>114.66</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114.66</w:t>
            </w:r>
          </w:p>
        </w:tc>
        <w:tc>
          <w:tcPr>
            <w:tcW w:w="2551" w:type="dxa"/>
            <w:vAlign w:val="center"/>
          </w:tcPr>
          <w:p>
            <w:pPr>
              <w:pStyle w:val="13"/>
            </w:pPr>
          </w:p>
        </w:tc>
        <w:tc>
          <w:tcPr>
            <w:tcW w:w="2551" w:type="dxa"/>
            <w:vAlign w:val="center"/>
          </w:tcPr>
          <w:p>
            <w:pPr>
              <w:pStyle w:val="13"/>
            </w:pPr>
            <w:r>
              <w:t>114.66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204</w:t>
            </w:r>
          </w:p>
        </w:tc>
        <w:tc>
          <w:tcPr>
            <w:tcW w:w="4535" w:type="dxa"/>
            <w:vAlign w:val="center"/>
          </w:tcPr>
          <w:p>
            <w:pPr>
              <w:pStyle w:val="10"/>
            </w:pPr>
            <w:r>
              <w:t>公共安全支出</w:t>
            </w:r>
          </w:p>
        </w:tc>
        <w:tc>
          <w:tcPr>
            <w:tcW w:w="2551" w:type="dxa"/>
            <w:vAlign w:val="center"/>
          </w:tcPr>
          <w:p>
            <w:pPr>
              <w:pStyle w:val="9"/>
            </w:pPr>
            <w:r>
              <w:t>114.66</w:t>
            </w:r>
          </w:p>
        </w:tc>
        <w:tc>
          <w:tcPr>
            <w:tcW w:w="2551" w:type="dxa"/>
            <w:vAlign w:val="center"/>
          </w:tcPr>
          <w:p>
            <w:pPr>
              <w:pStyle w:val="9"/>
            </w:pPr>
          </w:p>
        </w:tc>
        <w:tc>
          <w:tcPr>
            <w:tcW w:w="2551" w:type="dxa"/>
            <w:vAlign w:val="center"/>
          </w:tcPr>
          <w:p>
            <w:pPr>
              <w:pStyle w:val="9"/>
            </w:pPr>
            <w:r>
              <w:t>114.66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20404</w:t>
            </w:r>
          </w:p>
        </w:tc>
        <w:tc>
          <w:tcPr>
            <w:tcW w:w="4535" w:type="dxa"/>
            <w:vAlign w:val="center"/>
          </w:tcPr>
          <w:p>
            <w:pPr>
              <w:pStyle w:val="10"/>
            </w:pPr>
            <w:r>
              <w:t>检察</w:t>
            </w:r>
          </w:p>
        </w:tc>
        <w:tc>
          <w:tcPr>
            <w:tcW w:w="2551" w:type="dxa"/>
            <w:vAlign w:val="center"/>
          </w:tcPr>
          <w:p>
            <w:pPr>
              <w:pStyle w:val="9"/>
            </w:pPr>
            <w:r>
              <w:t>114.66</w:t>
            </w:r>
          </w:p>
        </w:tc>
        <w:tc>
          <w:tcPr>
            <w:tcW w:w="2551" w:type="dxa"/>
            <w:vAlign w:val="center"/>
          </w:tcPr>
          <w:p>
            <w:pPr>
              <w:pStyle w:val="9"/>
            </w:pPr>
          </w:p>
        </w:tc>
        <w:tc>
          <w:tcPr>
            <w:tcW w:w="2551" w:type="dxa"/>
            <w:vAlign w:val="center"/>
          </w:tcPr>
          <w:p>
            <w:pPr>
              <w:pStyle w:val="9"/>
            </w:pPr>
            <w:r>
              <w:t>114.66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2040499</w:t>
            </w:r>
          </w:p>
        </w:tc>
        <w:tc>
          <w:tcPr>
            <w:tcW w:w="4535" w:type="dxa"/>
            <w:vAlign w:val="center"/>
          </w:tcPr>
          <w:p>
            <w:pPr>
              <w:pStyle w:val="10"/>
            </w:pPr>
            <w:r>
              <w:t>其他检察支出</w:t>
            </w:r>
          </w:p>
        </w:tc>
        <w:tc>
          <w:tcPr>
            <w:tcW w:w="2551" w:type="dxa"/>
            <w:vAlign w:val="center"/>
          </w:tcPr>
          <w:p>
            <w:pPr>
              <w:pStyle w:val="9"/>
            </w:pPr>
            <w:r>
              <w:t>114.66</w:t>
            </w:r>
          </w:p>
        </w:tc>
        <w:tc>
          <w:tcPr>
            <w:tcW w:w="2551" w:type="dxa"/>
            <w:vAlign w:val="center"/>
          </w:tcPr>
          <w:p>
            <w:pPr>
              <w:pStyle w:val="9"/>
            </w:pPr>
          </w:p>
        </w:tc>
        <w:tc>
          <w:tcPr>
            <w:tcW w:w="2551" w:type="dxa"/>
            <w:vAlign w:val="center"/>
          </w:tcPr>
          <w:p>
            <w:pPr>
              <w:pStyle w:val="9"/>
            </w:pPr>
            <w:r>
              <w:t>114.66</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151深州市人民检察院</w:t>
            </w:r>
          </w:p>
        </w:tc>
        <w:tc>
          <w:tcPr>
            <w:tcW w:w="2381" w:type="dxa"/>
            <w:tcBorders>
              <w:top w:val="single" w:color="FFFFFF" w:sz="6" w:space="0"/>
              <w:left w:val="single" w:color="FFFFFF" w:sz="6" w:space="0"/>
              <w:right w:val="single" w:color="FFFFFF" w:sz="6" w:space="0"/>
            </w:tcBorders>
            <w:vAlign w:val="center"/>
          </w:tcPr>
          <w:p>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1</w:t>
            </w:r>
          </w:p>
        </w:tc>
        <w:tc>
          <w:tcPr>
            <w:tcW w:w="3798" w:type="dxa"/>
            <w:vAlign w:val="center"/>
          </w:tcPr>
          <w:p>
            <w:pPr>
              <w:pStyle w:val="10"/>
            </w:pPr>
            <w:r>
              <w:t>“三公”经费小计</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3</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4</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5</w:t>
            </w:r>
          </w:p>
        </w:tc>
        <w:tc>
          <w:tcPr>
            <w:tcW w:w="3798" w:type="dxa"/>
            <w:vAlign w:val="center"/>
          </w:tcPr>
          <w:p>
            <w:pPr>
              <w:pStyle w:val="10"/>
            </w:pPr>
            <w:r>
              <w:t>二、公务用车购置及维护费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6</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7</w:t>
            </w:r>
          </w:p>
        </w:tc>
        <w:tc>
          <w:tcPr>
            <w:tcW w:w="3798" w:type="dxa"/>
            <w:vAlign w:val="center"/>
          </w:tcPr>
          <w:p>
            <w:pPr>
              <w:pStyle w:val="10"/>
            </w:pPr>
            <w:r>
              <w:t xml:space="preserve">                      公务用车运行维护费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rPr>
                <w:rFonts w:hint="eastAsia" w:eastAsiaTheme="minorEastAsia"/>
                <w:lang w:eastAsia="zh-CN"/>
              </w:rPr>
            </w:pPr>
            <w:r>
              <w:rPr>
                <w:rFonts w:hint="eastAsia" w:eastAsiaTheme="minorEastAsia"/>
                <w:lang w:eastAsia="zh-CN"/>
              </w:rPr>
              <w:t>8</w:t>
            </w:r>
          </w:p>
        </w:tc>
        <w:tc>
          <w:tcPr>
            <w:tcW w:w="3798" w:type="dxa"/>
            <w:vAlign w:val="center"/>
          </w:tcPr>
          <w:p>
            <w:pPr>
              <w:pStyle w:val="10"/>
            </w:pPr>
            <w:r>
              <w:t>三、公务接待费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w:t>
      </w: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“三公”经费</w:t>
      </w:r>
      <w:r>
        <w:rPr>
          <w:rFonts w:ascii="方正书宋_GBK" w:hAnsi="方正书宋_GBK" w:eastAsia="方正书宋_GBK" w:cs="方正书宋_GBK"/>
          <w:color w:val="000000"/>
          <w:sz w:val="21"/>
        </w:rPr>
        <w:t>预算财政拨款预算，空表列</w:t>
      </w:r>
      <w:r>
        <w:rPr>
          <w:rFonts w:hint="eastAsia" w:ascii="方正书宋_GBK" w:hAnsi="方正书宋_GBK" w:eastAsia="方正书宋_GBK" w:cs="方正书宋_GBK"/>
          <w:color w:val="000000"/>
          <w:sz w:val="21"/>
          <w:lang w:eastAsia="zh-CN"/>
        </w:rPr>
        <w:t>示。</w:t>
      </w:r>
      <w:r>
        <w:rPr>
          <w:rFonts w:ascii="方正书宋_GBK" w:hAnsi="方正书宋_GBK" w:eastAsia="方正书宋_GBK" w:cs="方正书宋_GBK"/>
          <w:color w:val="FFFFFF"/>
          <w:sz w:val="21"/>
        </w:rPr>
        <w:t>部分  深州市人民检察院2023年部门预算信息公开情况说明</w:t>
      </w:r>
    </w:p>
    <w:p>
      <w:pPr>
        <w:jc w:val="center"/>
      </w:pPr>
      <w:r>
        <w:rPr>
          <w:rFonts w:ascii="方正小标宋_GBK" w:hAnsi="方正小标宋_GBK" w:eastAsia="方正小标宋_GBK" w:cs="方正小标宋_GBK"/>
          <w:color w:val="000000"/>
          <w:sz w:val="44"/>
        </w:rPr>
        <w:t>深州市人民检察院2023年部门预算信息公开情况说明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按照《预算法》、《地方预决算公开操作规程》和《关于进一步推进预算公开工作的实施意见》规定，现将深州市人民检察院2023年部门预算公开如下：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(一)对深州市人民代表大会及其常务委员会负责并报告工作,接受市人民代表大会及其常务委员会的监督,接受上级人民检察院的领导。</w:t>
      </w:r>
    </w:p>
    <w:p>
      <w:pPr>
        <w:pStyle w:val="15"/>
      </w:pPr>
      <w:r>
        <w:t>(二)依法向深州市人民代表大会及其常务委员会提出议案。</w:t>
      </w:r>
    </w:p>
    <w:p>
      <w:pPr>
        <w:pStyle w:val="15"/>
      </w:pPr>
      <w:r>
        <w:t>(三)结合我市实际,贯彻执行最高人民检察院、河北省人民检察院、衡水市人民检察院的工作方针并组织实施,安排部署检察工作任务。</w:t>
      </w:r>
    </w:p>
    <w:p>
      <w:pPr>
        <w:pStyle w:val="15"/>
      </w:pPr>
      <w:r>
        <w:t>(四)依法对贪污贿赂犯罪,国家机关工作人员的渎职犯罪,利用职权实施的非法拘禁、刑讯逼供、报复陷害、非法搜查等侵犯公民人身权利的犯罪以及侵犯公民民主权利的犯罪案件进行侦查。依法立案侦查本辖区的重大犯罪案件和经衡水市人民检察院决定由深州市人民检察院立案侦查的国家机关工作人员利用职权实施的其他重大犯罪案件;领导本院的侦查工作。</w:t>
      </w:r>
    </w:p>
    <w:p>
      <w:pPr>
        <w:pStyle w:val="15"/>
      </w:pPr>
      <w:r>
        <w:t>(五)对本市重大刑事案件依法审查批准逮捕、决定逮捕、提起公诉,开展对刑事犯罪案件的审查批准逮捕、决定逮捕、提起公诉工作。掌握社会治安动态,参与社会治安综合治理。</w:t>
      </w:r>
    </w:p>
    <w:p>
      <w:pPr>
        <w:pStyle w:val="15"/>
      </w:pPr>
      <w:r>
        <w:t>(六)依法对刑事诉讼、民事审判、行政诉讼和侦查机关的侦查活动实行法律监督。</w:t>
      </w:r>
    </w:p>
    <w:p>
      <w:pPr>
        <w:pStyle w:val="15"/>
      </w:pPr>
      <w:r>
        <w:t>(七)依法对本市人民法院确有错误的判决或裁定提出抗诉。</w:t>
      </w:r>
    </w:p>
    <w:p>
      <w:pPr>
        <w:pStyle w:val="15"/>
      </w:pPr>
      <w:r>
        <w:t>(八)对在行使检察权中作出的决定进行审查,纠正错误决定。</w:t>
      </w:r>
    </w:p>
    <w:p>
      <w:pPr>
        <w:pStyle w:val="15"/>
      </w:pPr>
      <w:r>
        <w:t>(九)对刑事案件判决、裁定的执行和监狱、看守所、劳动教养机关的执法活动实行法律监督。</w:t>
      </w:r>
    </w:p>
    <w:p>
      <w:pPr>
        <w:pStyle w:val="15"/>
      </w:pPr>
      <w:r>
        <w:t>(十)受理单位和公民的控告、申诉、举报以及犯罪嫌疑人自首。</w:t>
      </w:r>
    </w:p>
    <w:p>
      <w:pPr>
        <w:pStyle w:val="15"/>
      </w:pPr>
      <w:r>
        <w:t>(十一)对全市职务犯罪预防工作进行研究并提出预防对策,组织实施职务犯罪预防工作。</w:t>
      </w:r>
    </w:p>
    <w:p>
      <w:pPr>
        <w:pStyle w:val="15"/>
      </w:pPr>
      <w:r>
        <w:t>(十二)规划和指导检察技术信息工作,　以及物证、书证检验、鉴定、审核工作和视听资料的收集、固定、运用工作。</w:t>
      </w:r>
    </w:p>
    <w:p>
      <w:pPr>
        <w:pStyle w:val="15"/>
      </w:pPr>
      <w:r>
        <w:t>(十三)对检察工作中具体应用法律问题进行研究,　向立法机关和上级人民检察院提出立法及司法解释建议意见。制订有关检察工作的规定、办法和实施细则。</w:t>
      </w:r>
    </w:p>
    <w:p>
      <w:pPr>
        <w:pStyle w:val="15"/>
      </w:pPr>
      <w:r>
        <w:t>(十四)负责检察机关队伍建设、思想政治工作和宣传工作;依法管理检察官及其他检察人员的工作;协同机构编制部门管理检察机关的机构设置及人员编制。</w:t>
      </w:r>
    </w:p>
    <w:p>
      <w:pPr>
        <w:pStyle w:val="15"/>
      </w:pPr>
      <w:r>
        <w:t>(十五)协同地方党委管理、考核市人民检察院检察长、副检察长,根据《检察官法》和《人民检察院组织法》的有关规定办理有关任免事项。</w:t>
      </w:r>
    </w:p>
    <w:p>
      <w:pPr>
        <w:pStyle w:val="15"/>
      </w:pPr>
      <w:r>
        <w:t>(十六)组织指导检察机关干部教育培训工作。</w:t>
      </w:r>
    </w:p>
    <w:p>
      <w:pPr>
        <w:pStyle w:val="15"/>
      </w:pPr>
      <w:r>
        <w:t>(十七)规划和指导检察机关的计划财务装备工作。</w:t>
      </w:r>
    </w:p>
    <w:p>
      <w:pPr>
        <w:pStyle w:val="15"/>
      </w:pPr>
      <w:r>
        <w:t>(十八)负责其它应当由深州市人民检察院承办的事项。</w:t>
      </w:r>
    </w:p>
    <w:p>
      <w:pPr>
        <w:pStyle w:val="15"/>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深州市人民检察院本级</w:t>
            </w:r>
          </w:p>
        </w:tc>
        <w:tc>
          <w:tcPr>
            <w:tcW w:w="1843" w:type="dxa"/>
            <w:vAlign w:val="center"/>
          </w:tcPr>
          <w:p>
            <w:pPr>
              <w:pStyle w:val="11"/>
            </w:pPr>
            <w:r>
              <w:t>行政</w:t>
            </w:r>
          </w:p>
        </w:tc>
        <w:tc>
          <w:tcPr>
            <w:tcW w:w="2126" w:type="dxa"/>
            <w:vAlign w:val="center"/>
          </w:tcPr>
          <w:p>
            <w:pPr>
              <w:pStyle w:val="11"/>
            </w:pPr>
            <w:r>
              <w:t>副处（县）级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Theme="minorEastAsia"/>
          <w:color w:val="000000"/>
          <w:sz w:val="28"/>
          <w:lang w:eastAsia="zh-CN"/>
        </w:rPr>
      </w:pPr>
      <w:r>
        <w:rPr>
          <w:rFonts w:eastAsia="方正仿宋_GBK"/>
          <w:color w:val="000000"/>
          <w:sz w:val="28"/>
        </w:rPr>
        <w:t>按照预算管理有关规定，目前我省部门预算的编制实行综合预算管理，即全部收入和支出都反映在预算中。深州市人民检察院机关及所属事业单位的收支包含在部门预算中。</w:t>
      </w:r>
    </w:p>
    <w:p>
      <w:pPr>
        <w:spacing w:line="500" w:lineRule="exact"/>
        <w:ind w:firstLine="560"/>
        <w:rPr>
          <w:rFonts w:eastAsiaTheme="minorEastAsia"/>
          <w:lang w:eastAsia="zh-CN"/>
        </w:rPr>
      </w:pPr>
      <w:r>
        <w:rPr>
          <w:rFonts w:hint="eastAsia" w:eastAsiaTheme="minorEastAsia"/>
          <w:color w:val="000000"/>
          <w:sz w:val="28"/>
          <w:lang w:eastAsia="zh-CN"/>
        </w:rPr>
        <w:t>1、收入说明</w:t>
      </w:r>
    </w:p>
    <w:p>
      <w:pPr>
        <w:pStyle w:val="16"/>
        <w:rPr>
          <w:rFonts w:eastAsiaTheme="minorEastAsia"/>
          <w:lang w:eastAsia="zh-CN"/>
        </w:rPr>
      </w:pPr>
      <w:r>
        <w:rPr>
          <w:rFonts w:hint="eastAsia" w:eastAsiaTheme="minorEastAsia"/>
          <w:lang w:eastAsia="zh-CN"/>
        </w:rPr>
        <w:t>反映本部门当</w:t>
      </w:r>
      <w:r>
        <w:t>年</w:t>
      </w:r>
      <w:r>
        <w:rPr>
          <w:rFonts w:hint="eastAsia" w:eastAsiaTheme="minorEastAsia"/>
          <w:lang w:eastAsia="zh-CN"/>
        </w:rPr>
        <w:t>全部收入。2023年</w:t>
      </w:r>
      <w:r>
        <w:t>预算收入114.66万元，</w:t>
      </w:r>
      <w:r>
        <w:rPr>
          <w:rFonts w:hint="eastAsia" w:eastAsiaTheme="minorEastAsia"/>
          <w:lang w:eastAsia="zh-CN"/>
        </w:rPr>
        <w:t>其中：一般公共预算收入114.66万元，基金预算收入0万元，财政专户核拨收入0万元，其他来源收入0万元。</w:t>
      </w:r>
    </w:p>
    <w:p>
      <w:pPr>
        <w:pStyle w:val="16"/>
        <w:rPr>
          <w:rFonts w:eastAsiaTheme="minorEastAsia"/>
          <w:lang w:eastAsia="zh-CN"/>
        </w:rPr>
      </w:pPr>
      <w:r>
        <w:rPr>
          <w:rFonts w:hint="eastAsia" w:eastAsiaTheme="minorEastAsia"/>
          <w:lang w:eastAsia="zh-CN"/>
        </w:rPr>
        <w:t>2、支出说明</w:t>
      </w:r>
    </w:p>
    <w:p>
      <w:pPr>
        <w:pStyle w:val="16"/>
        <w:rPr>
          <w:rFonts w:eastAsiaTheme="minorEastAsia"/>
          <w:lang w:eastAsia="zh-CN"/>
        </w:rPr>
      </w:pPr>
      <w:r>
        <w:rPr>
          <w:rFonts w:hint="eastAsia" w:eastAsiaTheme="minorEastAsia"/>
          <w:lang w:eastAsia="zh-CN"/>
        </w:rPr>
        <w:t>收支预算总表支出栏、基本支出表、项目支出表按经济分类和支出功能分类科目编制，反映深州市人民检察院年度部门预算中支出预算的总体情况。2023年部门支出预算为114.66万元，其中基本支出0万元，包括人员经费0万元和日常公用经费0万元；项目支出114.66万元，主要为运转保障-提前下达基层公检法司转移支付资金-检察办案9万元；运转保障-提前下达基层公检法司转移支付资金-检察办案4.32万元；运转保障-提前下达基层公检法司转移支付资金-检察办案10.14万元；提前下达基层公检法司转移支付资金-检察装备3.58万元；运转保障-提前下达基层公检法司转移支付资金-检察办案5.43万元；提前下达基层公检法司转移支付资金-检察装备2.03万元；运转保障-提前下达中央纪检监察转移支付资金-检察办案2.13万元；运转保障-提前下达中央纪检监察转移支付资金-检察办案10万元；运转保障-提前下达中央纪检监察转移支付资金-检察办案32.58万元；提前下达中央纪检监察转移支付资金-检察装备30万元；提前下达中央纪检监察转移支付资金-检察装备5.45万元。</w:t>
      </w:r>
    </w:p>
    <w:p>
      <w:pPr>
        <w:pStyle w:val="16"/>
        <w:rPr>
          <w:rFonts w:eastAsiaTheme="minorEastAsia"/>
          <w:lang w:eastAsia="zh-CN"/>
        </w:rPr>
      </w:pPr>
      <w:r>
        <w:rPr>
          <w:rFonts w:hint="eastAsia" w:eastAsiaTheme="minorEastAsia"/>
          <w:lang w:eastAsia="zh-CN"/>
        </w:rPr>
        <w:t>3、比上年增减情况</w:t>
      </w:r>
    </w:p>
    <w:p>
      <w:pPr>
        <w:pStyle w:val="16"/>
        <w:rPr>
          <w:rFonts w:eastAsiaTheme="minorEastAsia"/>
          <w:lang w:eastAsia="zh-CN"/>
        </w:rPr>
      </w:pPr>
      <w:r>
        <w:rPr>
          <w:rFonts w:hint="eastAsia" w:eastAsiaTheme="minorEastAsia"/>
          <w:lang w:eastAsia="zh-CN"/>
        </w:rPr>
        <w:t>2023年部门预算收支安排114.66万元，较2022年减少1631.99万元，其中基本支出减少1011.37万元，原因是2023年上划，预算在市级财政安排；项目支出减少620.62万元，原因是2023年上划，预算在市级财政安排。</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rPr>
          <w:rFonts w:hint="eastAsia" w:eastAsiaTheme="minorEastAsia"/>
          <w:lang w:eastAsia="zh-CN"/>
        </w:rPr>
        <w:t>2023年</w:t>
      </w:r>
      <w:r>
        <w:t>无机关运行经费安排。</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rPr>
          <w:rFonts w:eastAsiaTheme="minorEastAsia"/>
          <w:lang w:eastAsia="zh-CN"/>
        </w:rPr>
      </w:pPr>
      <w:r>
        <w:t>2023年</w:t>
      </w:r>
      <w:r>
        <w:rPr>
          <w:rFonts w:hint="eastAsia" w:eastAsiaTheme="minorEastAsia"/>
          <w:lang w:eastAsia="zh-CN"/>
        </w:rPr>
        <w:t>我部门</w:t>
      </w:r>
      <w:r>
        <w:t>财政拨款“三公”经费预算为</w:t>
      </w:r>
      <w:r>
        <w:rPr>
          <w:rFonts w:hint="eastAsia" w:eastAsiaTheme="minorEastAsia"/>
          <w:lang w:eastAsia="zh-CN"/>
        </w:rPr>
        <w:t>0</w:t>
      </w:r>
      <w:r>
        <w:t>万元</w:t>
      </w:r>
      <w:r>
        <w:rPr>
          <w:rFonts w:hint="eastAsia" w:eastAsiaTheme="minorEastAsia"/>
          <w:lang w:eastAsia="zh-CN"/>
        </w:rPr>
        <w:t>，其中：</w:t>
      </w:r>
    </w:p>
    <w:p>
      <w:pPr>
        <w:pStyle w:val="18"/>
        <w:rPr>
          <w:rFonts w:eastAsiaTheme="minorEastAsia"/>
          <w:lang w:eastAsia="zh-CN"/>
        </w:rPr>
      </w:pPr>
      <w:r>
        <w:rPr>
          <w:rFonts w:hint="eastAsia" w:eastAsiaTheme="minorEastAsia"/>
          <w:lang w:eastAsia="zh-CN"/>
        </w:rPr>
        <w:t>因公出国（境）0万元，较上年持平，无增减变化；</w:t>
      </w:r>
    </w:p>
    <w:p>
      <w:pPr>
        <w:pStyle w:val="18"/>
        <w:rPr>
          <w:rFonts w:eastAsiaTheme="minorEastAsia"/>
          <w:lang w:eastAsia="zh-CN"/>
        </w:rPr>
      </w:pPr>
      <w:r>
        <w:rPr>
          <w:rFonts w:hint="eastAsia" w:eastAsiaTheme="minorEastAsia"/>
          <w:lang w:eastAsia="zh-CN"/>
        </w:rPr>
        <w:t>公务用车购置及运维费0万元，较上年减少4万元，原因是2023年上划，预算在市级财政安排；</w:t>
      </w:r>
    </w:p>
    <w:p>
      <w:pPr>
        <w:pStyle w:val="18"/>
        <w:rPr>
          <w:rFonts w:eastAsiaTheme="minorEastAsia"/>
          <w:lang w:eastAsia="zh-CN"/>
        </w:rPr>
      </w:pPr>
      <w:r>
        <w:rPr>
          <w:rFonts w:hint="eastAsia" w:eastAsiaTheme="minorEastAsia"/>
          <w:lang w:eastAsia="zh-CN"/>
        </w:rPr>
        <w:t>公务接待费0万元，</w:t>
      </w:r>
      <w:r>
        <w:t>较上年</w:t>
      </w:r>
      <w:r>
        <w:rPr>
          <w:rFonts w:hint="eastAsia" w:eastAsiaTheme="minorEastAsia"/>
          <w:lang w:eastAsia="zh-CN"/>
        </w:rPr>
        <w:t>减少0.36万元</w:t>
      </w:r>
      <w:r>
        <w:t>，</w:t>
      </w:r>
      <w:r>
        <w:rPr>
          <w:rFonts w:hint="eastAsia" w:eastAsiaTheme="minorEastAsia"/>
          <w:lang w:eastAsia="zh-CN"/>
        </w:rPr>
        <w:t>原因是2023年上划，预算在市级财政安排</w:t>
      </w:r>
      <w:r>
        <w:t>。</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19"/>
      </w:pPr>
      <w:r>
        <w:t>2023年是全面贯彻落实党的二十大精神的开局之年。我院将以习近平新时代中国特色社会主义思想为统揽，聚焦党的二十大战略部署和上级具体要求，深化党建融合赋能，深耕检察主责主业，强弱项、补短板、求极致，创一流，努力为中国式现代化的深州实践提供更优司法保障！</w:t>
      </w:r>
    </w:p>
    <w:p>
      <w:pPr>
        <w:spacing w:line="500" w:lineRule="exact"/>
        <w:ind w:firstLine="560"/>
      </w:pPr>
      <w:r>
        <w:rPr>
          <w:rFonts w:eastAsia="方正仿宋_GBK"/>
          <w:color w:val="000000"/>
          <w:sz w:val="28"/>
        </w:rPr>
        <w:t>（二）分项绩效目标</w:t>
      </w:r>
    </w:p>
    <w:p>
      <w:pPr>
        <w:pStyle w:val="20"/>
      </w:pPr>
      <w:r>
        <w:t>1.侦查监督</w:t>
      </w:r>
    </w:p>
    <w:p>
      <w:pPr>
        <w:pStyle w:val="20"/>
      </w:pPr>
      <w:r>
        <w:t>绩效目标：打击犯罪、保障人权、维护司法公正。</w:t>
      </w:r>
    </w:p>
    <w:p>
      <w:pPr>
        <w:pStyle w:val="20"/>
      </w:pPr>
      <w:r>
        <w:t>绩效指标：</w:t>
      </w:r>
    </w:p>
    <w:p>
      <w:pPr>
        <w:pStyle w:val="20"/>
      </w:pPr>
      <w:r>
        <w:t>(1)错捕、捕后撤案、不起诉、判无罪率，错捕、捕后撤案、不起诉、判无罪案件占所有案件比例≤1%为优，≤3%为良，≤5%为中，&gt;5%为差。</w:t>
      </w:r>
    </w:p>
    <w:p>
      <w:pPr>
        <w:pStyle w:val="20"/>
      </w:pPr>
      <w:r>
        <w:t>(2)批延准确率，批延准确案件占整个批延案件比例100%为优，≥98%为良，≥95%为中，&lt;95%为差。</w:t>
      </w:r>
    </w:p>
    <w:p>
      <w:pPr>
        <w:pStyle w:val="20"/>
      </w:pPr>
      <w:r>
        <w:t>(3)立案和侦查活动监督完成率100%为优，≥95%为良，≥90%为中，&lt;90%为差。</w:t>
      </w:r>
    </w:p>
    <w:p>
      <w:pPr>
        <w:pStyle w:val="20"/>
      </w:pPr>
      <w:r>
        <w:t>2.公诉和审判监督</w:t>
      </w:r>
    </w:p>
    <w:p>
      <w:pPr>
        <w:pStyle w:val="20"/>
      </w:pPr>
      <w:r>
        <w:t>绩效目标：全面审查案件事实，核实证据，依法提出审查意见，打击犯罪，保障人权，维护司法公正。</w:t>
      </w:r>
    </w:p>
    <w:p>
      <w:pPr>
        <w:pStyle w:val="20"/>
      </w:pPr>
      <w:r>
        <w:t>绩效指标：</w:t>
      </w:r>
    </w:p>
    <w:p>
      <w:pPr>
        <w:pStyle w:val="20"/>
      </w:pPr>
      <w:r>
        <w:t>(1)办理案件数，当年实际办理案件数≥300为优，≥264为良，≥198为中，&lt;198为差。</w:t>
      </w:r>
    </w:p>
    <w:p>
      <w:pPr>
        <w:pStyle w:val="20"/>
      </w:pPr>
      <w:r>
        <w:t>(2)出庭意见采纳率，出庭意见被采纳案件占全部案件比例≥80%为优，≥70%为良，≥60%为中，&lt;60%为差。</w:t>
      </w:r>
    </w:p>
    <w:p>
      <w:pPr>
        <w:pStyle w:val="20"/>
      </w:pPr>
      <w:r>
        <w:t>(3)诉讼期限内审结案件占全部案件比例，诉讼期限内审结案件占全部案件比例100%为优，≥95%为良，≥90%为中，&lt;90%为差。</w:t>
      </w:r>
    </w:p>
    <w:p>
      <w:pPr>
        <w:pStyle w:val="20"/>
      </w:pPr>
      <w:r>
        <w:t>3.民事行政诉讼监督</w:t>
      </w:r>
    </w:p>
    <w:p>
      <w:pPr>
        <w:pStyle w:val="20"/>
      </w:pPr>
      <w:r>
        <w:t>绩效目标：加大办案力度，提高办案质量。</w:t>
      </w:r>
    </w:p>
    <w:p>
      <w:pPr>
        <w:pStyle w:val="20"/>
      </w:pPr>
      <w:r>
        <w:t>绩效指标：</w:t>
      </w:r>
    </w:p>
    <w:p>
      <w:pPr>
        <w:pStyle w:val="20"/>
      </w:pPr>
      <w:r>
        <w:t>(1)抗诉案件再审改变率，抗诉案件经再审改变案件占全部抗诉案件的比例≥70%为优，≥60%为良，≥50%为中，&lt;50%为差。</w:t>
      </w:r>
    </w:p>
    <w:p>
      <w:pPr>
        <w:pStyle w:val="20"/>
      </w:pPr>
      <w:r>
        <w:t>(2)案件审结率，审结案件占受理案件的比例100%为优，≥95%为良，≥90%为中，&lt;90%为差。</w:t>
      </w:r>
    </w:p>
    <w:p>
      <w:pPr>
        <w:pStyle w:val="20"/>
      </w:pPr>
      <w:r>
        <w:t>(3)当事人对民事行政申请监督案件满意度，案件办结后当事人的满意程度≥80%为优，≥70%为良，≥60%为中，&lt;60%为差。</w:t>
      </w:r>
    </w:p>
    <w:p>
      <w:pPr>
        <w:pStyle w:val="20"/>
      </w:pPr>
      <w:r>
        <w:t>(4)不支持监督申请决定息讼息访率，申请人息诉息访案件占全部不支持监督申请案件的比例≥50%为优，≥40%为良，≥30%为中，&lt;30%为差。</w:t>
      </w:r>
    </w:p>
    <w:p>
      <w:pPr>
        <w:pStyle w:val="20"/>
      </w:pPr>
      <w:r>
        <w:t>(5)检察建议采纳率，被采纳的检察建议占全部检察建议的比例≥80%为优，≥70%为良，≥60%为中，&lt;60%为差。</w:t>
      </w:r>
    </w:p>
    <w:p>
      <w:pPr>
        <w:pStyle w:val="20"/>
      </w:pPr>
      <w:r>
        <w:t>4.刑事执行检察</w:t>
      </w:r>
    </w:p>
    <w:p>
      <w:pPr>
        <w:pStyle w:val="20"/>
      </w:pPr>
      <w:r>
        <w:t>绩效目标：保障刑罚执行和刑事执行活动的依法有序进行。</w:t>
      </w:r>
    </w:p>
    <w:p>
      <w:pPr>
        <w:pStyle w:val="20"/>
      </w:pPr>
      <w:r>
        <w:t>绩效指标：</w:t>
      </w:r>
    </w:p>
    <w:p>
      <w:pPr>
        <w:pStyle w:val="20"/>
      </w:pPr>
      <w:r>
        <w:t>(1)建设一级规范化监察室数量，建设全省派驻监管场所一级规范化监察室的数量≥10为优，≥7为良，≥5为中，&lt;5为差。</w:t>
      </w:r>
    </w:p>
    <w:p>
      <w:pPr>
        <w:pStyle w:val="20"/>
      </w:pPr>
      <w:r>
        <w:t xml:space="preserve">(2)监督行为及效果满意度，被执行人及相关当事人、办案机关、社会各界对监督行为及效果的满意程度≥95%为优，≥85%为良，≥80%为中，&lt;80%为差。 </w:t>
      </w:r>
    </w:p>
    <w:p>
      <w:pPr>
        <w:pStyle w:val="20"/>
      </w:pPr>
      <w:r>
        <w:t>(3)纠正意见或建议的采纳率，对执行机关纠正违法意见或建议采纳数量占提出总数量的比率≥90%为优，≥85%为良，≥80%为中，&lt;80%为差。</w:t>
      </w:r>
    </w:p>
    <w:p>
      <w:pPr>
        <w:pStyle w:val="20"/>
      </w:pPr>
      <w:r>
        <w:t>5.未成年人刑事检察</w:t>
      </w:r>
    </w:p>
    <w:p>
      <w:pPr>
        <w:pStyle w:val="20"/>
      </w:pPr>
      <w:r>
        <w:t>绩效目标：使我院未检在全省检察机关位于先列。</w:t>
      </w:r>
    </w:p>
    <w:p>
      <w:pPr>
        <w:pStyle w:val="20"/>
      </w:pPr>
      <w:r>
        <w:t>绩效指标：</w:t>
      </w:r>
    </w:p>
    <w:p>
      <w:pPr>
        <w:pStyle w:val="20"/>
      </w:pPr>
      <w:r>
        <w:t>(1)未成年人刑事案件指导率，指导全省案件数量与报送案件数量的比例≥95%为优，≥90%为良，≥80%为中，&lt;80%为差。</w:t>
      </w:r>
    </w:p>
    <w:p>
      <w:pPr>
        <w:pStyle w:val="20"/>
      </w:pPr>
      <w:r>
        <w:t>(2)未成年人刑事案件办理率，全省办理案件数量与受理案件数量的比例≥95%为优，≥90%为良，≥80%为中，&lt;80%为差。</w:t>
      </w:r>
    </w:p>
    <w:p>
      <w:pPr>
        <w:pStyle w:val="20"/>
      </w:pPr>
      <w:r>
        <w:t>(3)附条件不起诉率，附条件不起诉案件占全部未成年人案件的比例≥10%为优，≥5%为良，≥1%为中，&lt;1%为差。</w:t>
      </w:r>
    </w:p>
    <w:p>
      <w:pPr>
        <w:pStyle w:val="20"/>
      </w:pPr>
      <w:r>
        <w:t>(4)社会调查报告实施率，对未成年人实施社会调查报告占全部未成年人案件的比例≥70%为优，≥50%为良，≥30%为中，&lt;30%为差。</w:t>
      </w:r>
    </w:p>
    <w:p>
      <w:pPr>
        <w:pStyle w:val="20"/>
      </w:pPr>
      <w:r>
        <w:t>(5)案件办结率，办结案件占所有受理案件的比例≥80%为优，≥70%为良，≥60%为中，&lt;60%为差。</w:t>
      </w:r>
    </w:p>
    <w:p>
      <w:pPr>
        <w:pStyle w:val="20"/>
      </w:pPr>
      <w:r>
        <w:t>(6)特殊检察制度适用率，对涉案未成年人实施心理疏导、亲情会见、庭审教育、不起诉宣布教育、案后帮扶等特殊检察制度占全部受理案件的比例≥70%为优，≥50%为良，≥30%为中，&lt;30%为差。</w:t>
      </w:r>
    </w:p>
    <w:p>
      <w:pPr>
        <w:pStyle w:val="20"/>
      </w:pPr>
      <w:r>
        <w:t>(7)不捕、不诉率，对涉罪未成年人实施不批捕、不起诉人数占全部涉罪未成年总数的比例≥40%为优，≥30%为良，≥20%为中，&lt;20%为差。</w:t>
      </w:r>
    </w:p>
    <w:p>
      <w:pPr>
        <w:pStyle w:val="20"/>
      </w:pPr>
      <w:r>
        <w:t>6.司法辅助</w:t>
      </w:r>
    </w:p>
    <w:p>
      <w:pPr>
        <w:pStyle w:val="20"/>
      </w:pPr>
      <w:r>
        <w:t>绩效目标：加强各项检察辅助职能，为检察业务提供有力保障。</w:t>
      </w:r>
    </w:p>
    <w:p>
      <w:pPr>
        <w:pStyle w:val="20"/>
      </w:pPr>
      <w:r>
        <w:t>绩效指标：</w:t>
      </w:r>
    </w:p>
    <w:p>
      <w:pPr>
        <w:pStyle w:val="20"/>
      </w:pPr>
      <w:r>
        <w:t>(1)出警及时率，及时出警数占总出警数比例≥90%为优，≥70%为良，≥60%为中，&lt;60%为差。</w:t>
      </w:r>
    </w:p>
    <w:p>
      <w:pPr>
        <w:pStyle w:val="20"/>
      </w:pPr>
      <w:r>
        <w:t>(2)委托方满意度，从技术能力、服务态度方面综合考量，委托方满意案件占全部委托案件的比例≥80%为优，≥70%为良，≥60%为中，&lt;60%为差。</w:t>
      </w:r>
    </w:p>
    <w:p>
      <w:pPr>
        <w:pStyle w:val="20"/>
      </w:pPr>
      <w:r>
        <w:t>(3)司法鉴定实验室建设程度， 按国家标准完成司法鉴定实验室建设情况≥80%为优，≥70%为良，≥60%为中，&lt;60%为差。</w:t>
      </w:r>
    </w:p>
    <w:p>
      <w:pPr>
        <w:pStyle w:val="20"/>
      </w:pPr>
      <w:r>
        <w:t>(4)司法鉴定案件办结率，办结司法鉴定案件占全部司法鉴定案件比例≥75%为优，≥60%为良，≥45%为中，&lt;45%为差。</w:t>
      </w:r>
    </w:p>
    <w:p>
      <w:pPr>
        <w:pStyle w:val="20"/>
      </w:pPr>
      <w:r>
        <w:t>(5)法警装备购置率，实际购置法警装备数量占计划比例≥90%为优，≥70%为良，≥60%为中，&lt;60%为差。</w:t>
      </w:r>
    </w:p>
    <w:p>
      <w:pPr>
        <w:pStyle w:val="20"/>
      </w:pPr>
      <w:r>
        <w:t>(6)出警次数，当年实际出警人次≥200为优，≥160为良，≥140为中，&lt;140为差。</w:t>
      </w:r>
    </w:p>
    <w:p>
      <w:pPr>
        <w:pStyle w:val="20"/>
      </w:pPr>
      <w:r>
        <w:t>7.生态环境保护检察</w:t>
      </w:r>
    </w:p>
    <w:p>
      <w:pPr>
        <w:pStyle w:val="20"/>
      </w:pPr>
      <w:r>
        <w:t>绩效目标：加强生态环境保护宣传和检察工作。</w:t>
      </w:r>
    </w:p>
    <w:p>
      <w:pPr>
        <w:pStyle w:val="20"/>
      </w:pPr>
      <w:r>
        <w:t>绩效指标：</w:t>
      </w:r>
    </w:p>
    <w:p>
      <w:pPr>
        <w:pStyle w:val="20"/>
      </w:pPr>
      <w:r>
        <w:t>(1)生态环境保护类案件办结率，办结生态环境类案件数占受理全部生态环境类案件的比例≥80%为优，≥60%为良，≥50%为中，&lt;50%为差。</w:t>
      </w:r>
    </w:p>
    <w:p>
      <w:pPr>
        <w:pStyle w:val="20"/>
      </w:pPr>
      <w:r>
        <w:t>(2)咨询人满意度，在开展生态环境保护法律咨询活动中，咨询人对工作的满意度100%为优，≥95%为良，≥90%为中，&lt;90%为差。</w:t>
      </w:r>
    </w:p>
    <w:p>
      <w:pPr>
        <w:pStyle w:val="20"/>
      </w:pPr>
      <w:r>
        <w:t>(3)开展生态环境保护宣传工作次数，年内开展宣传工作次数≥3为优，2为良，1为中，0为差。</w:t>
      </w:r>
    </w:p>
    <w:p>
      <w:pPr>
        <w:pStyle w:val="20"/>
      </w:pPr>
      <w:r>
        <w:t>8.检察公益诉讼</w:t>
      </w:r>
    </w:p>
    <w:p>
      <w:pPr>
        <w:pStyle w:val="20"/>
      </w:pPr>
      <w:r>
        <w:t>绩效目标：充分发挥检察机关法律监督职能作用，促进依法行政、严格执法，维护宪法法律权威，维护社会公平正义，维护国家和社会公共利益。</w:t>
      </w:r>
    </w:p>
    <w:p>
      <w:pPr>
        <w:pStyle w:val="20"/>
      </w:pPr>
      <w:r>
        <w:t>绩效指标：</w:t>
      </w:r>
    </w:p>
    <w:p>
      <w:pPr>
        <w:pStyle w:val="20"/>
      </w:pPr>
      <w:r>
        <w:t>(1)同比上年度立案情况≥95%为优，≥90%为良，≥85%为中，&lt;85%为差。</w:t>
      </w:r>
    </w:p>
    <w:p>
      <w:pPr>
        <w:pStyle w:val="20"/>
      </w:pPr>
      <w:r>
        <w:t>(2)同比上年度诉前检察建议情况≥95%为优，≥90%为良，≥85%为中，&lt;85%为差。</w:t>
      </w:r>
    </w:p>
    <w:p>
      <w:pPr>
        <w:pStyle w:val="20"/>
      </w:pPr>
      <w:r>
        <w:t>(3)同比上年度提起诉讼情况≥95%为优，≥90%为良，≥85%为中，&lt;85%为差。</w:t>
      </w:r>
    </w:p>
    <w:p>
      <w:pPr>
        <w:pStyle w:val="20"/>
      </w:pPr>
      <w:r>
        <w:t>9.涉检信访办理</w:t>
      </w:r>
    </w:p>
    <w:p>
      <w:pPr>
        <w:pStyle w:val="20"/>
      </w:pPr>
      <w:r>
        <w:t>绩效目标：构建依法有序信访秩序，及时依法解决群众诉求。</w:t>
      </w:r>
    </w:p>
    <w:p>
      <w:pPr>
        <w:pStyle w:val="20"/>
      </w:pPr>
      <w:r>
        <w:t>绩效指标：</w:t>
      </w:r>
    </w:p>
    <w:p>
      <w:pPr>
        <w:pStyle w:val="20"/>
      </w:pPr>
      <w:r>
        <w:t>(1)法定期限内办结率，受理信访案件在法定期限内办结率：≥90%为优，≥80%为良，≥60%为中，&lt;60%为差；</w:t>
      </w:r>
    </w:p>
    <w:p>
      <w:pPr>
        <w:pStyle w:val="20"/>
      </w:pPr>
      <w:r>
        <w:t>(2)有效化解涉检信访矛盾率，化解信访矛盾占全部信访比例：≥90%为优，≥80%为良，≥60%为中，&lt;60%为差；</w:t>
      </w:r>
    </w:p>
    <w:p>
      <w:pPr>
        <w:pStyle w:val="20"/>
      </w:pPr>
      <w:r>
        <w:t>(3)错案率，错案数占受理案件比例：≤5%为优，≤10%为良，≤15%为中，&gt;15%为差。</w:t>
      </w:r>
    </w:p>
    <w:p>
      <w:pPr>
        <w:pStyle w:val="20"/>
      </w:pPr>
      <w:r>
        <w:t>10.举报管理、刑事申诉及涉检国家赔偿和司法救助</w:t>
      </w:r>
    </w:p>
    <w:p>
      <w:pPr>
        <w:pStyle w:val="20"/>
      </w:pPr>
      <w:r>
        <w:t>绩效目标：加强和改进举报工作，保护申诉人合法权益，保护被赔偿人和被救助人合法权益。</w:t>
      </w:r>
    </w:p>
    <w:p>
      <w:pPr>
        <w:pStyle w:val="20"/>
      </w:pPr>
      <w:r>
        <w:t>绩效指标：</w:t>
      </w:r>
    </w:p>
    <w:p>
      <w:pPr>
        <w:pStyle w:val="20"/>
      </w:pPr>
      <w:r>
        <w:t>(1)举报线索处置率，处置举报线索占全部举报线索的比例：100%为优，≥95%为良，≥90%为中，&lt;90%为差；</w:t>
      </w:r>
    </w:p>
    <w:p>
      <w:pPr>
        <w:pStyle w:val="20"/>
      </w:pPr>
      <w:r>
        <w:t>(2)司法救助率，司法救助案件数占受理案件数的比例：≥90%为优，≥80%为良，≥60%为中，&lt;60%为差；</w:t>
      </w:r>
    </w:p>
    <w:p>
      <w:pPr>
        <w:pStyle w:val="20"/>
      </w:pPr>
      <w:r>
        <w:t>(3)刑事申诉案件结案率，刑事申诉办结案件数占受理案件比例：≥90%为优，≥80%为良，≥60%为中，&lt;60%为差；</w:t>
      </w:r>
    </w:p>
    <w:p>
      <w:pPr>
        <w:pStyle w:val="20"/>
      </w:pPr>
      <w:r>
        <w:t>(4)涉检国家赔偿率，赔偿案件数占受理案件数的比例：≥90%为优，≥80%为良，≥60%为中，&lt;60%为差；</w:t>
      </w:r>
    </w:p>
    <w:p>
      <w:pPr>
        <w:pStyle w:val="20"/>
      </w:pPr>
      <w:r>
        <w:t>(5)涉检国家赔偿和刑事申诉案件错案率，错案数占受理案件比例：≤5%为优，≤10%为良，≤15%为中，&gt;15%为差；</w:t>
      </w:r>
    </w:p>
    <w:p>
      <w:pPr>
        <w:pStyle w:val="20"/>
      </w:pPr>
      <w:r>
        <w:t>(6)法定期限内办结率 ，受理举报、涉检国家赔偿和刑事申诉案件在法定期限内办结率：100%为优，≥95%为良，≥90%为中，&lt;90%为差；</w:t>
      </w:r>
    </w:p>
    <w:p>
      <w:pPr>
        <w:pStyle w:val="20"/>
      </w:pPr>
      <w:r>
        <w:t>(7)举报移送立案率，移送立案数占初核案件比例：≥50%为优，≥40%为良，≥30%为中，&lt;30%为差；</w:t>
      </w:r>
    </w:p>
    <w:p>
      <w:pPr>
        <w:pStyle w:val="20"/>
      </w:pPr>
      <w:r>
        <w:t>11.综合业务管理</w:t>
      </w:r>
    </w:p>
    <w:p>
      <w:pPr>
        <w:pStyle w:val="20"/>
      </w:pPr>
      <w:r>
        <w:t>绩效目标：提高执法水平和办案质量、提升检察机关法律监督能力。</w:t>
      </w:r>
    </w:p>
    <w:p>
      <w:pPr>
        <w:pStyle w:val="20"/>
      </w:pPr>
      <w:r>
        <w:t>绩效指标：各项综合业务管理工作完成率：100%为优，≥95%为良，≥90%为中，&lt;90%为差。</w:t>
      </w:r>
    </w:p>
    <w:p>
      <w:pPr>
        <w:pStyle w:val="20"/>
      </w:pPr>
      <w:r>
        <w:t>12.综合事务管理</w:t>
      </w:r>
    </w:p>
    <w:p>
      <w:pPr>
        <w:pStyle w:val="20"/>
      </w:pPr>
      <w:r>
        <w:t>绩效目标：为检察工作顺利开展提供保障。</w:t>
      </w:r>
    </w:p>
    <w:p>
      <w:pPr>
        <w:pStyle w:val="20"/>
      </w:pPr>
      <w:r>
        <w:t>绩效指标：各项综合事务工作完成率：100%为优，≥95%为良，≥90%为中，&lt;90%为差</w:t>
      </w:r>
    </w:p>
    <w:p>
      <w:pPr>
        <w:pStyle w:val="20"/>
      </w:pPr>
    </w:p>
    <w:p>
      <w:pPr>
        <w:spacing w:line="500" w:lineRule="exact"/>
        <w:ind w:firstLine="560"/>
      </w:pPr>
      <w:r>
        <w:rPr>
          <w:rFonts w:eastAsia="方正仿宋_GBK"/>
          <w:color w:val="000000"/>
          <w:sz w:val="28"/>
        </w:rPr>
        <w:t>（三）工作保障措施</w:t>
      </w:r>
    </w:p>
    <w:p>
      <w:pPr>
        <w:pStyle w:val="21"/>
      </w:pPr>
      <w:r>
        <w:t>1.加强组织领导。将事前评估、目标管理、运行监控、绩效评价、结果应用等各项改革措施，有效融入预算管理的全过程环节，建立健全行政政法领域预算绩效管理的路径和制度体系。成立由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pPr>
        <w:pStyle w:val="21"/>
      </w:pPr>
      <w:r>
        <w:t>2.狠抓任务落实。按照“谁花钱、谁负责，谁牵总、谁主责”的原则，明确业务单位（处室）预算绩效管理职责。充分调动各项目主管单位（处室）的积极性和主动性，由业务单位（处室）负责科学制定分管项目和内容的中期、终期绩效目标和评价指标，动态收集评估数据信息，开展预算绩效中期评估、终期评价，落实整改措施等。按照领导小组指示，配合领导小组办公室开展分管项目及内容的预算绩效管理具体工作，实现定项目就要抓绩效、分资金就要管绩效，确保财务与业务工作紧密衔接。</w:t>
      </w:r>
    </w:p>
    <w:p>
      <w:pPr>
        <w:pStyle w:val="21"/>
      </w:pPr>
      <w:r>
        <w:t>3.强化预算执行。强化财政预算执行的刚性约束，及时启动项目和支付资金，加快履行政府采购程序，优化部门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pPr>
        <w:pStyle w:val="21"/>
      </w:pPr>
      <w:r>
        <w:t>4.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pPr>
        <w:pStyle w:val="21"/>
      </w:pPr>
      <w:r>
        <w:t>5.强化宣传引导。组织开展多轮次、多角度的业务培训，使全部干警牢固树立绩效理念，熟悉管理流程，掌握工作方法，提升管理能力。各单位（处室）要探索工作经验，及时总结预算绩效管理成效，营造良好的舆论氛围，提升预算绩效管理科学水平。</w:t>
      </w:r>
    </w:p>
    <w:p>
      <w:pPr>
        <w:pStyle w:val="21"/>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cs="方正楷体_GBK" w:eastAsiaTheme="minorEastAsia"/>
          <w:b/>
          <w:color w:val="000000"/>
          <w:sz w:val="32"/>
          <w:lang w:eastAsia="zh-CN"/>
        </w:rPr>
      </w:pPr>
    </w:p>
    <w:p>
      <w:pPr>
        <w:ind w:firstLine="640"/>
        <w:rPr>
          <w:rFonts w:eastAsiaTheme="minorEastAsia"/>
          <w:lang w:eastAsia="zh-CN"/>
        </w:rPr>
        <w:sectPr>
          <w:pgSz w:w="16840" w:h="11900" w:orient="landscape"/>
          <w:pgMar w:top="1361" w:right="1020" w:bottom="1361" w:left="1020" w:header="720" w:footer="720" w:gutter="0"/>
          <w:cols w:space="720" w:num="1"/>
        </w:sectPr>
      </w:pPr>
      <w:r>
        <w:rPr>
          <w:rFonts w:hint="eastAsia" w:ascii="方正楷体_GBK" w:hAnsi="方正楷体_GBK" w:cs="方正楷体_GBK" w:eastAsiaTheme="minorEastAsia"/>
          <w:color w:val="000000"/>
          <w:sz w:val="32"/>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1、提前下达基层公检法司转移支付资金-检察装备绩效目标表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1.提高执法水平和办案质量，提升检察机关法律监督能力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购买车辆</w:t>
            </w:r>
          </w:p>
        </w:tc>
        <w:tc>
          <w:tcPr>
            <w:tcW w:w="2835" w:type="dxa"/>
            <w:vAlign w:val="center"/>
          </w:tcPr>
          <w:p>
            <w:pPr>
              <w:pStyle w:val="10"/>
            </w:pPr>
            <w:r>
              <w:t>购买车辆</w:t>
            </w:r>
          </w:p>
        </w:tc>
        <w:tc>
          <w:tcPr>
            <w:tcW w:w="2551" w:type="dxa"/>
            <w:vAlign w:val="center"/>
          </w:tcPr>
          <w:p>
            <w:pPr>
              <w:pStyle w:val="10"/>
            </w:pPr>
            <w:r>
              <w:t>1辆</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车辆安全运行率</w:t>
            </w:r>
          </w:p>
        </w:tc>
        <w:tc>
          <w:tcPr>
            <w:tcW w:w="2835" w:type="dxa"/>
            <w:vAlign w:val="center"/>
          </w:tcPr>
          <w:p>
            <w:pPr>
              <w:pStyle w:val="10"/>
            </w:pPr>
            <w:r>
              <w:t>车辆安全运行率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完工及时率</w:t>
            </w:r>
          </w:p>
        </w:tc>
        <w:tc>
          <w:tcPr>
            <w:tcW w:w="2835" w:type="dxa"/>
            <w:vAlign w:val="center"/>
          </w:tcPr>
          <w:p>
            <w:pPr>
              <w:pStyle w:val="10"/>
            </w:pPr>
            <w:r>
              <w:t>完工及时率</w:t>
            </w:r>
          </w:p>
          <w:p>
            <w:pPr>
              <w:pStyle w:val="10"/>
            </w:pP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项目预算成本数</w:t>
            </w:r>
          </w:p>
        </w:tc>
        <w:tc>
          <w:tcPr>
            <w:tcW w:w="2835" w:type="dxa"/>
            <w:vAlign w:val="center"/>
          </w:tcPr>
          <w:p>
            <w:pPr>
              <w:pStyle w:val="10"/>
            </w:pPr>
            <w:r>
              <w:t>项目预算成本数</w:t>
            </w:r>
          </w:p>
        </w:tc>
        <w:tc>
          <w:tcPr>
            <w:tcW w:w="2551" w:type="dxa"/>
            <w:vAlign w:val="center"/>
          </w:tcPr>
          <w:p>
            <w:pPr>
              <w:pStyle w:val="10"/>
            </w:pPr>
            <w:r>
              <w:t>2.03万元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成本利用率</w:t>
            </w:r>
          </w:p>
        </w:tc>
        <w:tc>
          <w:tcPr>
            <w:tcW w:w="2835" w:type="dxa"/>
            <w:vAlign w:val="center"/>
          </w:tcPr>
          <w:p>
            <w:pPr>
              <w:pStyle w:val="10"/>
            </w:pPr>
            <w:r>
              <w:t>成本利用率</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服务对象满意比例</w:t>
            </w:r>
          </w:p>
        </w:tc>
        <w:tc>
          <w:tcPr>
            <w:tcW w:w="2835" w:type="dxa"/>
            <w:vAlign w:val="center"/>
          </w:tcPr>
          <w:p>
            <w:pPr>
              <w:pStyle w:val="10"/>
            </w:pPr>
            <w:r>
              <w:t>服务对象满意比例</w:t>
            </w:r>
          </w:p>
        </w:tc>
        <w:tc>
          <w:tcPr>
            <w:tcW w:w="2551" w:type="dxa"/>
            <w:vAlign w:val="center"/>
          </w:tcPr>
          <w:p>
            <w:pPr>
              <w:pStyle w:val="10"/>
            </w:pPr>
            <w:r>
              <w:t>≥90%</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2、提前下达基层公检法司转移支付资金-检察装备绩效目标表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1.提高执法水平和办案质量，提升检察机关法律监督能力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设备采购数量</w:t>
            </w:r>
          </w:p>
        </w:tc>
        <w:tc>
          <w:tcPr>
            <w:tcW w:w="2835" w:type="dxa"/>
            <w:vAlign w:val="center"/>
          </w:tcPr>
          <w:p>
            <w:pPr>
              <w:pStyle w:val="10"/>
            </w:pPr>
            <w:r>
              <w:t>设备采购数量</w:t>
            </w:r>
          </w:p>
        </w:tc>
        <w:tc>
          <w:tcPr>
            <w:tcW w:w="2551" w:type="dxa"/>
            <w:vAlign w:val="center"/>
          </w:tcPr>
          <w:p>
            <w:pPr>
              <w:pStyle w:val="10"/>
            </w:pPr>
            <w:r>
              <w:t>≥1件</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设备合格率</w:t>
            </w:r>
          </w:p>
        </w:tc>
        <w:tc>
          <w:tcPr>
            <w:tcW w:w="2835" w:type="dxa"/>
            <w:vAlign w:val="center"/>
          </w:tcPr>
          <w:p>
            <w:pPr>
              <w:pStyle w:val="10"/>
            </w:pPr>
            <w:r>
              <w:t>购置设备的合格比率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工期完工时间</w:t>
            </w:r>
          </w:p>
        </w:tc>
        <w:tc>
          <w:tcPr>
            <w:tcW w:w="2835" w:type="dxa"/>
            <w:vAlign w:val="center"/>
          </w:tcPr>
          <w:p>
            <w:pPr>
              <w:pStyle w:val="10"/>
            </w:pPr>
            <w:r>
              <w:t>工期完工时间</w:t>
            </w:r>
          </w:p>
        </w:tc>
        <w:tc>
          <w:tcPr>
            <w:tcW w:w="2551" w:type="dxa"/>
            <w:vAlign w:val="center"/>
          </w:tcPr>
          <w:p>
            <w:pPr>
              <w:pStyle w:val="10"/>
            </w:pPr>
            <w:r>
              <w:t>一年内完成</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项目预算成本</w:t>
            </w:r>
          </w:p>
        </w:tc>
        <w:tc>
          <w:tcPr>
            <w:tcW w:w="2551" w:type="dxa"/>
            <w:vAlign w:val="center"/>
          </w:tcPr>
          <w:p>
            <w:pPr>
              <w:pStyle w:val="10"/>
            </w:pPr>
            <w:r>
              <w:t>3.58万元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专项资金投入产出效益</w:t>
            </w:r>
          </w:p>
        </w:tc>
        <w:tc>
          <w:tcPr>
            <w:tcW w:w="2835" w:type="dxa"/>
            <w:vAlign w:val="center"/>
          </w:tcPr>
          <w:p>
            <w:pPr>
              <w:pStyle w:val="10"/>
            </w:pPr>
            <w:r>
              <w:t>专项资金投入产出效益</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满意率</w:t>
            </w:r>
          </w:p>
        </w:tc>
        <w:tc>
          <w:tcPr>
            <w:tcW w:w="2835" w:type="dxa"/>
            <w:vAlign w:val="center"/>
          </w:tcPr>
          <w:p>
            <w:pPr>
              <w:pStyle w:val="10"/>
            </w:pPr>
            <w:r>
              <w:t>满意率</w:t>
            </w:r>
          </w:p>
        </w:tc>
        <w:tc>
          <w:tcPr>
            <w:tcW w:w="2551" w:type="dxa"/>
            <w:vAlign w:val="center"/>
          </w:tcPr>
          <w:p>
            <w:pPr>
              <w:pStyle w:val="10"/>
            </w:pPr>
            <w:r>
              <w:t>≥90%</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3、提前下达中央政法纪检监察转移支付资金-检察装备绩效目标表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1.提高执法水平和办案质量，提升检察机关法律监督能力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设备采购数量</w:t>
            </w:r>
          </w:p>
        </w:tc>
        <w:tc>
          <w:tcPr>
            <w:tcW w:w="2835" w:type="dxa"/>
            <w:vAlign w:val="center"/>
          </w:tcPr>
          <w:p>
            <w:pPr>
              <w:pStyle w:val="10"/>
            </w:pPr>
            <w:r>
              <w:t>设备采购数量</w:t>
            </w:r>
          </w:p>
        </w:tc>
        <w:tc>
          <w:tcPr>
            <w:tcW w:w="2551" w:type="dxa"/>
            <w:vAlign w:val="center"/>
          </w:tcPr>
          <w:p>
            <w:pPr>
              <w:pStyle w:val="10"/>
            </w:pPr>
            <w:r>
              <w:t>≥1台</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问题发现率</w:t>
            </w:r>
          </w:p>
        </w:tc>
        <w:tc>
          <w:tcPr>
            <w:tcW w:w="2835" w:type="dxa"/>
            <w:vAlign w:val="center"/>
          </w:tcPr>
          <w:p>
            <w:pPr>
              <w:pStyle w:val="10"/>
            </w:pPr>
            <w:r>
              <w:t>问题发现率</w:t>
            </w:r>
          </w:p>
        </w:tc>
        <w:tc>
          <w:tcPr>
            <w:tcW w:w="2551" w:type="dxa"/>
            <w:vAlign w:val="center"/>
          </w:tcPr>
          <w:p>
            <w:pPr>
              <w:pStyle w:val="10"/>
            </w:pPr>
            <w:r>
              <w:t>≤10%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按期完成率</w:t>
            </w:r>
          </w:p>
        </w:tc>
        <w:tc>
          <w:tcPr>
            <w:tcW w:w="2835" w:type="dxa"/>
            <w:vAlign w:val="center"/>
          </w:tcPr>
          <w:p>
            <w:pPr>
              <w:pStyle w:val="10"/>
            </w:pPr>
            <w:r>
              <w:t>按期完成率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项目预算成本数</w:t>
            </w:r>
          </w:p>
        </w:tc>
        <w:tc>
          <w:tcPr>
            <w:tcW w:w="2835" w:type="dxa"/>
            <w:vAlign w:val="center"/>
          </w:tcPr>
          <w:p>
            <w:pPr>
              <w:pStyle w:val="10"/>
            </w:pPr>
            <w:r>
              <w:t>项目预算成本数</w:t>
            </w:r>
          </w:p>
        </w:tc>
        <w:tc>
          <w:tcPr>
            <w:tcW w:w="2551" w:type="dxa"/>
            <w:vAlign w:val="center"/>
          </w:tcPr>
          <w:p>
            <w:pPr>
              <w:pStyle w:val="10"/>
            </w:pPr>
            <w:r>
              <w:t>35.45万元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专项资金投入产出效益</w:t>
            </w:r>
          </w:p>
        </w:tc>
        <w:tc>
          <w:tcPr>
            <w:tcW w:w="2835" w:type="dxa"/>
            <w:vAlign w:val="center"/>
          </w:tcPr>
          <w:p>
            <w:pPr>
              <w:pStyle w:val="10"/>
            </w:pPr>
            <w:r>
              <w:t>专项资金投入产出效益</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服务对象满意比例</w:t>
            </w:r>
          </w:p>
        </w:tc>
        <w:tc>
          <w:tcPr>
            <w:tcW w:w="2835" w:type="dxa"/>
            <w:vAlign w:val="center"/>
          </w:tcPr>
          <w:p>
            <w:pPr>
              <w:pStyle w:val="10"/>
            </w:pPr>
            <w:r>
              <w:t>服务对象满意比例</w:t>
            </w:r>
          </w:p>
        </w:tc>
        <w:tc>
          <w:tcPr>
            <w:tcW w:w="2551" w:type="dxa"/>
            <w:vAlign w:val="center"/>
          </w:tcPr>
          <w:p>
            <w:pPr>
              <w:pStyle w:val="10"/>
            </w:pPr>
            <w:r>
              <w:t>≥90%</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4、运转保障-提前下达基层公检法司转移支付资金-检察办案绩效目标表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1.提升检察机关法律监督能力，提高执法水平和办案质量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报刊订阅数量</w:t>
            </w:r>
          </w:p>
        </w:tc>
        <w:tc>
          <w:tcPr>
            <w:tcW w:w="2835" w:type="dxa"/>
            <w:vAlign w:val="center"/>
          </w:tcPr>
          <w:p>
            <w:pPr>
              <w:pStyle w:val="10"/>
            </w:pPr>
            <w:r>
              <w:t>报刊订阅数量</w:t>
            </w:r>
          </w:p>
        </w:tc>
        <w:tc>
          <w:tcPr>
            <w:tcW w:w="2551" w:type="dxa"/>
            <w:vAlign w:val="center"/>
          </w:tcPr>
          <w:p>
            <w:pPr>
              <w:pStyle w:val="10"/>
            </w:pPr>
            <w:r>
              <w:t>≥15份</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各项综合业务管理工作完成率</w:t>
            </w:r>
          </w:p>
        </w:tc>
        <w:tc>
          <w:tcPr>
            <w:tcW w:w="2835" w:type="dxa"/>
            <w:vAlign w:val="center"/>
          </w:tcPr>
          <w:p>
            <w:pPr>
              <w:pStyle w:val="10"/>
            </w:pPr>
            <w:r>
              <w:t>综合业务工作任务完成情况占综合业务工作任务的比例</w:t>
            </w:r>
          </w:p>
        </w:tc>
        <w:tc>
          <w:tcPr>
            <w:tcW w:w="2551" w:type="dxa"/>
            <w:vAlign w:val="center"/>
          </w:tcPr>
          <w:p>
            <w:pPr>
              <w:pStyle w:val="10"/>
            </w:pPr>
            <w:r>
              <w:t>100%</w:t>
            </w:r>
          </w:p>
          <w:p>
            <w:pPr>
              <w:pStyle w:val="10"/>
            </w:pP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完工及时率</w:t>
            </w:r>
          </w:p>
        </w:tc>
        <w:tc>
          <w:tcPr>
            <w:tcW w:w="2835" w:type="dxa"/>
            <w:vAlign w:val="center"/>
          </w:tcPr>
          <w:p>
            <w:pPr>
              <w:pStyle w:val="10"/>
            </w:pPr>
            <w:r>
              <w:t>完工及时率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项目预算成本</w:t>
            </w:r>
          </w:p>
        </w:tc>
        <w:tc>
          <w:tcPr>
            <w:tcW w:w="2551" w:type="dxa"/>
            <w:vAlign w:val="center"/>
          </w:tcPr>
          <w:p>
            <w:pPr>
              <w:pStyle w:val="10"/>
            </w:pPr>
            <w:r>
              <w:t>5.43万元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业务保障能力提升情况</w:t>
            </w:r>
          </w:p>
        </w:tc>
        <w:tc>
          <w:tcPr>
            <w:tcW w:w="2835" w:type="dxa"/>
            <w:vAlign w:val="center"/>
          </w:tcPr>
          <w:p>
            <w:pPr>
              <w:pStyle w:val="10"/>
            </w:pPr>
            <w:r>
              <w:t>业务保障能力提升情况</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参与单位满意度</w:t>
            </w:r>
          </w:p>
        </w:tc>
        <w:tc>
          <w:tcPr>
            <w:tcW w:w="2835" w:type="dxa"/>
            <w:vAlign w:val="center"/>
          </w:tcPr>
          <w:p>
            <w:pPr>
              <w:pStyle w:val="10"/>
            </w:pPr>
            <w:r>
              <w:t>参与单位满意度</w:t>
            </w:r>
          </w:p>
        </w:tc>
        <w:tc>
          <w:tcPr>
            <w:tcW w:w="2551" w:type="dxa"/>
            <w:vAlign w:val="center"/>
          </w:tcPr>
          <w:p>
            <w:pPr>
              <w:pStyle w:val="10"/>
            </w:pPr>
            <w:r>
              <w:t>≥90%</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5、运转保障-提前下达基层公检法司转移支付资金-检察办案绩效目标表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1.提升检察机关法律监督能力，提高执法水平和办案质量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各项检务保障工作完成率</w:t>
            </w:r>
          </w:p>
        </w:tc>
        <w:tc>
          <w:tcPr>
            <w:tcW w:w="2835" w:type="dxa"/>
            <w:vAlign w:val="center"/>
          </w:tcPr>
          <w:p>
            <w:pPr>
              <w:pStyle w:val="10"/>
            </w:pPr>
            <w:r>
              <w:t>各项检务保障工作完成率</w:t>
            </w:r>
          </w:p>
        </w:tc>
        <w:tc>
          <w:tcPr>
            <w:tcW w:w="2551" w:type="dxa"/>
            <w:vAlign w:val="center"/>
          </w:tcPr>
          <w:p>
            <w:pPr>
              <w:pStyle w:val="10"/>
            </w:pPr>
            <w:r>
              <w:t>保障工作正常开展</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各项综合业务管理工作完成率</w:t>
            </w:r>
          </w:p>
        </w:tc>
        <w:tc>
          <w:tcPr>
            <w:tcW w:w="2835" w:type="dxa"/>
            <w:vAlign w:val="center"/>
          </w:tcPr>
          <w:p>
            <w:pPr>
              <w:pStyle w:val="10"/>
            </w:pPr>
            <w:r>
              <w:t>综合业务工作任务完成情况占综合业务工作任务的比例</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完工及时率</w:t>
            </w:r>
          </w:p>
        </w:tc>
        <w:tc>
          <w:tcPr>
            <w:tcW w:w="2835" w:type="dxa"/>
            <w:vAlign w:val="center"/>
          </w:tcPr>
          <w:p>
            <w:pPr>
              <w:pStyle w:val="10"/>
            </w:pPr>
            <w:r>
              <w:t>完工及时率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项目总成本</w:t>
            </w:r>
          </w:p>
        </w:tc>
        <w:tc>
          <w:tcPr>
            <w:tcW w:w="2835" w:type="dxa"/>
            <w:vAlign w:val="center"/>
          </w:tcPr>
          <w:p>
            <w:pPr>
              <w:pStyle w:val="10"/>
            </w:pPr>
            <w:r>
              <w:t>项目总成本</w:t>
            </w:r>
          </w:p>
        </w:tc>
        <w:tc>
          <w:tcPr>
            <w:tcW w:w="2551" w:type="dxa"/>
            <w:vAlign w:val="center"/>
          </w:tcPr>
          <w:p>
            <w:pPr>
              <w:pStyle w:val="10"/>
            </w:pPr>
            <w:r>
              <w:t>≤10.14万元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提高效率</w:t>
            </w:r>
          </w:p>
        </w:tc>
        <w:tc>
          <w:tcPr>
            <w:tcW w:w="2835" w:type="dxa"/>
            <w:vAlign w:val="center"/>
          </w:tcPr>
          <w:p>
            <w:pPr>
              <w:pStyle w:val="10"/>
            </w:pPr>
            <w:r>
              <w:t>提高效率</w:t>
            </w:r>
          </w:p>
        </w:tc>
        <w:tc>
          <w:tcPr>
            <w:tcW w:w="2551" w:type="dxa"/>
            <w:vAlign w:val="center"/>
          </w:tcPr>
          <w:p>
            <w:pPr>
              <w:pStyle w:val="10"/>
            </w:pPr>
            <w:r>
              <w:t>有助于效率的提高</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参与单位满意度</w:t>
            </w:r>
          </w:p>
        </w:tc>
        <w:tc>
          <w:tcPr>
            <w:tcW w:w="2835" w:type="dxa"/>
            <w:vAlign w:val="center"/>
          </w:tcPr>
          <w:p>
            <w:pPr>
              <w:pStyle w:val="10"/>
            </w:pPr>
            <w:r>
              <w:t>参与单位满意度</w:t>
            </w:r>
          </w:p>
        </w:tc>
        <w:tc>
          <w:tcPr>
            <w:tcW w:w="2551" w:type="dxa"/>
            <w:vAlign w:val="center"/>
          </w:tcPr>
          <w:p>
            <w:pPr>
              <w:pStyle w:val="10"/>
            </w:pPr>
            <w:r>
              <w:t>≥95%</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6、运转保障-提前下达基层公检法司转移支付资金-检察办案绩效目标表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1.提升检察机关法律监督能力，提高执法水平和办案质量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交通保障次数</w:t>
            </w:r>
          </w:p>
        </w:tc>
        <w:tc>
          <w:tcPr>
            <w:tcW w:w="2835" w:type="dxa"/>
            <w:vAlign w:val="center"/>
          </w:tcPr>
          <w:p>
            <w:pPr>
              <w:pStyle w:val="10"/>
            </w:pPr>
            <w:r>
              <w:t>交通保障次数</w:t>
            </w:r>
          </w:p>
        </w:tc>
        <w:tc>
          <w:tcPr>
            <w:tcW w:w="2551" w:type="dxa"/>
            <w:vAlign w:val="center"/>
          </w:tcPr>
          <w:p>
            <w:pPr>
              <w:pStyle w:val="10"/>
            </w:pPr>
            <w:r>
              <w:t>≥4次</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机关运转率（%）</w:t>
            </w:r>
          </w:p>
        </w:tc>
        <w:tc>
          <w:tcPr>
            <w:tcW w:w="2835" w:type="dxa"/>
            <w:vAlign w:val="center"/>
          </w:tcPr>
          <w:p>
            <w:pPr>
              <w:pStyle w:val="10"/>
            </w:pPr>
            <w:r>
              <w:t>机关运转率（%）</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按期完成率</w:t>
            </w:r>
          </w:p>
        </w:tc>
        <w:tc>
          <w:tcPr>
            <w:tcW w:w="2835" w:type="dxa"/>
            <w:vAlign w:val="center"/>
          </w:tcPr>
          <w:p>
            <w:pPr>
              <w:pStyle w:val="10"/>
            </w:pPr>
            <w:r>
              <w:t>按期完成率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项目预算成本数</w:t>
            </w:r>
          </w:p>
        </w:tc>
        <w:tc>
          <w:tcPr>
            <w:tcW w:w="2835" w:type="dxa"/>
            <w:vAlign w:val="center"/>
          </w:tcPr>
          <w:p>
            <w:pPr>
              <w:pStyle w:val="10"/>
            </w:pPr>
            <w:r>
              <w:t>项目预算成本数</w:t>
            </w:r>
          </w:p>
        </w:tc>
        <w:tc>
          <w:tcPr>
            <w:tcW w:w="2551" w:type="dxa"/>
            <w:vAlign w:val="center"/>
          </w:tcPr>
          <w:p>
            <w:pPr>
              <w:pStyle w:val="10"/>
            </w:pPr>
            <w:r>
              <w:t>≥95%</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成本利用率</w:t>
            </w:r>
          </w:p>
        </w:tc>
        <w:tc>
          <w:tcPr>
            <w:tcW w:w="2835" w:type="dxa"/>
            <w:vAlign w:val="center"/>
          </w:tcPr>
          <w:p>
            <w:pPr>
              <w:pStyle w:val="10"/>
            </w:pPr>
            <w:r>
              <w:t>成本利用率</w:t>
            </w:r>
          </w:p>
        </w:tc>
        <w:tc>
          <w:tcPr>
            <w:tcW w:w="2551" w:type="dxa"/>
            <w:vAlign w:val="center"/>
          </w:tcPr>
          <w:p>
            <w:pPr>
              <w:pStyle w:val="10"/>
            </w:pPr>
            <w:r>
              <w:t>4.32万元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参与单位满意度</w:t>
            </w:r>
          </w:p>
        </w:tc>
        <w:tc>
          <w:tcPr>
            <w:tcW w:w="2835" w:type="dxa"/>
            <w:vAlign w:val="center"/>
          </w:tcPr>
          <w:p>
            <w:pPr>
              <w:pStyle w:val="10"/>
            </w:pPr>
            <w:r>
              <w:t>参与单位满意度</w:t>
            </w:r>
          </w:p>
        </w:tc>
        <w:tc>
          <w:tcPr>
            <w:tcW w:w="2551" w:type="dxa"/>
            <w:vAlign w:val="center"/>
          </w:tcPr>
          <w:p>
            <w:pPr>
              <w:pStyle w:val="10"/>
            </w:pPr>
            <w:r>
              <w:t>≥90%</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7、运转保障-提前下达基层公检法司转移支付资金-检察办案绩效目标表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1.提升检察机关法律监督能力，提高执法水平和办案质量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培训次数</w:t>
            </w:r>
          </w:p>
        </w:tc>
        <w:tc>
          <w:tcPr>
            <w:tcW w:w="2835" w:type="dxa"/>
            <w:vAlign w:val="center"/>
          </w:tcPr>
          <w:p>
            <w:pPr>
              <w:pStyle w:val="10"/>
            </w:pPr>
            <w:r>
              <w:t>培训次数</w:t>
            </w:r>
          </w:p>
        </w:tc>
        <w:tc>
          <w:tcPr>
            <w:tcW w:w="2551" w:type="dxa"/>
            <w:vAlign w:val="center"/>
          </w:tcPr>
          <w:p>
            <w:pPr>
              <w:pStyle w:val="10"/>
            </w:pPr>
            <w:r>
              <w:t>≥5次</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培训效果</w:t>
            </w:r>
          </w:p>
        </w:tc>
        <w:tc>
          <w:tcPr>
            <w:tcW w:w="2835" w:type="dxa"/>
            <w:vAlign w:val="center"/>
          </w:tcPr>
          <w:p>
            <w:pPr>
              <w:pStyle w:val="10"/>
            </w:pPr>
            <w:r>
              <w:t>培训效果</w:t>
            </w:r>
          </w:p>
        </w:tc>
        <w:tc>
          <w:tcPr>
            <w:tcW w:w="2551" w:type="dxa"/>
            <w:vAlign w:val="center"/>
          </w:tcPr>
          <w:p>
            <w:pPr>
              <w:pStyle w:val="10"/>
            </w:pPr>
            <w:r>
              <w:t>提升业务能力</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培训按期完成率</w:t>
            </w:r>
          </w:p>
        </w:tc>
        <w:tc>
          <w:tcPr>
            <w:tcW w:w="2835" w:type="dxa"/>
            <w:vAlign w:val="center"/>
          </w:tcPr>
          <w:p>
            <w:pPr>
              <w:pStyle w:val="10"/>
            </w:pPr>
            <w:r>
              <w:t>培训按期完成率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培训费用</w:t>
            </w:r>
          </w:p>
        </w:tc>
        <w:tc>
          <w:tcPr>
            <w:tcW w:w="2835" w:type="dxa"/>
            <w:vAlign w:val="center"/>
          </w:tcPr>
          <w:p>
            <w:pPr>
              <w:pStyle w:val="10"/>
            </w:pPr>
            <w:r>
              <w:t>培训费用</w:t>
            </w:r>
          </w:p>
        </w:tc>
        <w:tc>
          <w:tcPr>
            <w:tcW w:w="2551" w:type="dxa"/>
            <w:vAlign w:val="center"/>
          </w:tcPr>
          <w:p>
            <w:pPr>
              <w:pStyle w:val="10"/>
            </w:pPr>
            <w:r>
              <w:t>9万元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业务保障能力提升情况</w:t>
            </w:r>
          </w:p>
        </w:tc>
        <w:tc>
          <w:tcPr>
            <w:tcW w:w="2835" w:type="dxa"/>
            <w:vAlign w:val="center"/>
          </w:tcPr>
          <w:p>
            <w:pPr>
              <w:pStyle w:val="10"/>
            </w:pPr>
            <w:r>
              <w:t>业务保障能力提升情况</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培训对象满意度</w:t>
            </w:r>
          </w:p>
        </w:tc>
        <w:tc>
          <w:tcPr>
            <w:tcW w:w="2835" w:type="dxa"/>
            <w:vAlign w:val="center"/>
          </w:tcPr>
          <w:p>
            <w:pPr>
              <w:pStyle w:val="10"/>
            </w:pPr>
            <w:r>
              <w:t>培训对象满意度</w:t>
            </w:r>
          </w:p>
        </w:tc>
        <w:tc>
          <w:tcPr>
            <w:tcW w:w="2551" w:type="dxa"/>
            <w:vAlign w:val="center"/>
          </w:tcPr>
          <w:p>
            <w:pPr>
              <w:pStyle w:val="10"/>
            </w:pPr>
            <w:r>
              <w:t>≥95%</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8、运转保障-提前下达中央纪检监察转移支付资金-检察办案绩效目标表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1.提高执法水平和办案质量，提升检察机关法律监督能力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委托服务数量</w:t>
            </w:r>
          </w:p>
        </w:tc>
        <w:tc>
          <w:tcPr>
            <w:tcW w:w="2835" w:type="dxa"/>
            <w:vAlign w:val="center"/>
          </w:tcPr>
          <w:p>
            <w:pPr>
              <w:pStyle w:val="10"/>
            </w:pPr>
            <w:r>
              <w:t>委托服务数量</w:t>
            </w:r>
          </w:p>
        </w:tc>
        <w:tc>
          <w:tcPr>
            <w:tcW w:w="2551" w:type="dxa"/>
            <w:vAlign w:val="center"/>
          </w:tcPr>
          <w:p>
            <w:pPr>
              <w:pStyle w:val="10"/>
            </w:pPr>
            <w:r>
              <w:t>≥2次</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结案审核通过率</w:t>
            </w:r>
          </w:p>
        </w:tc>
        <w:tc>
          <w:tcPr>
            <w:tcW w:w="2835" w:type="dxa"/>
            <w:vAlign w:val="center"/>
          </w:tcPr>
          <w:p>
            <w:pPr>
              <w:pStyle w:val="10"/>
            </w:pPr>
            <w:r>
              <w:t>结案审核通过率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工作按时完成率</w:t>
            </w:r>
          </w:p>
        </w:tc>
        <w:tc>
          <w:tcPr>
            <w:tcW w:w="2835" w:type="dxa"/>
            <w:vAlign w:val="center"/>
          </w:tcPr>
          <w:p>
            <w:pPr>
              <w:pStyle w:val="10"/>
            </w:pPr>
            <w:r>
              <w:t>工作按时完成率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项目总成本</w:t>
            </w:r>
          </w:p>
        </w:tc>
        <w:tc>
          <w:tcPr>
            <w:tcW w:w="2835" w:type="dxa"/>
            <w:vAlign w:val="center"/>
          </w:tcPr>
          <w:p>
            <w:pPr>
              <w:pStyle w:val="10"/>
            </w:pPr>
            <w:r>
              <w:t>项目总成本</w:t>
            </w:r>
          </w:p>
        </w:tc>
        <w:tc>
          <w:tcPr>
            <w:tcW w:w="2551" w:type="dxa"/>
            <w:vAlign w:val="center"/>
          </w:tcPr>
          <w:p>
            <w:pPr>
              <w:pStyle w:val="10"/>
            </w:pPr>
            <w:r>
              <w:t>32.58万元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业务保障能力提升情况</w:t>
            </w:r>
          </w:p>
        </w:tc>
        <w:tc>
          <w:tcPr>
            <w:tcW w:w="2835" w:type="dxa"/>
            <w:vAlign w:val="center"/>
          </w:tcPr>
          <w:p>
            <w:pPr>
              <w:pStyle w:val="10"/>
            </w:pPr>
            <w:r>
              <w:t>业务保障能力提升情况</w:t>
            </w:r>
          </w:p>
        </w:tc>
        <w:tc>
          <w:tcPr>
            <w:tcW w:w="2551" w:type="dxa"/>
            <w:vAlign w:val="center"/>
          </w:tcPr>
          <w:p>
            <w:pPr>
              <w:pStyle w:val="10"/>
            </w:pPr>
            <w:r>
              <w:t>≥95%</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参与社会管理综合治理等工作完成情况</w:t>
            </w:r>
          </w:p>
        </w:tc>
        <w:tc>
          <w:tcPr>
            <w:tcW w:w="2835" w:type="dxa"/>
            <w:vAlign w:val="center"/>
          </w:tcPr>
          <w:p>
            <w:pPr>
              <w:pStyle w:val="10"/>
            </w:pPr>
            <w:r>
              <w:t>参与社会管理综合治理等工作完成情况</w:t>
            </w:r>
          </w:p>
        </w:tc>
        <w:tc>
          <w:tcPr>
            <w:tcW w:w="2551" w:type="dxa"/>
            <w:vAlign w:val="center"/>
          </w:tcPr>
          <w:p>
            <w:pPr>
              <w:pStyle w:val="10"/>
            </w:pPr>
            <w:r>
              <w:t>≥95%</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参与社会管理综合治理等工作完成情况</w:t>
            </w:r>
          </w:p>
        </w:tc>
        <w:tc>
          <w:tcPr>
            <w:tcW w:w="2835" w:type="dxa"/>
            <w:vAlign w:val="center"/>
          </w:tcPr>
          <w:p>
            <w:pPr>
              <w:pStyle w:val="10"/>
            </w:pPr>
            <w:r>
              <w:t>参与单位满意度</w:t>
            </w:r>
          </w:p>
        </w:tc>
        <w:tc>
          <w:tcPr>
            <w:tcW w:w="2551" w:type="dxa"/>
            <w:vAlign w:val="center"/>
          </w:tcPr>
          <w:p>
            <w:pPr>
              <w:pStyle w:val="10"/>
            </w:pPr>
            <w:r>
              <w:t>≥95%</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9、运转保障-提前下达中央纪检监察转移支付资金-检察办案绩效目标表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1.提高执法水平和办案质量，提升检察机关法律监督能力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报刊订阅数量</w:t>
            </w:r>
          </w:p>
        </w:tc>
        <w:tc>
          <w:tcPr>
            <w:tcW w:w="2835" w:type="dxa"/>
            <w:vAlign w:val="center"/>
          </w:tcPr>
          <w:p>
            <w:pPr>
              <w:pStyle w:val="10"/>
            </w:pPr>
            <w:r>
              <w:t>报刊订阅数量</w:t>
            </w:r>
          </w:p>
        </w:tc>
        <w:tc>
          <w:tcPr>
            <w:tcW w:w="2551" w:type="dxa"/>
            <w:vAlign w:val="center"/>
          </w:tcPr>
          <w:p>
            <w:pPr>
              <w:pStyle w:val="10"/>
            </w:pPr>
            <w:r>
              <w:t>≥15套</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各项综合业务管理工作完成率</w:t>
            </w:r>
          </w:p>
        </w:tc>
        <w:tc>
          <w:tcPr>
            <w:tcW w:w="2835" w:type="dxa"/>
            <w:vAlign w:val="center"/>
          </w:tcPr>
          <w:p>
            <w:pPr>
              <w:pStyle w:val="10"/>
            </w:pPr>
            <w:r>
              <w:t>综合业务工作任务完成情况占综合业务工作任务的比例</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年度资金计划按时完成率</w:t>
            </w:r>
          </w:p>
        </w:tc>
        <w:tc>
          <w:tcPr>
            <w:tcW w:w="2835" w:type="dxa"/>
            <w:vAlign w:val="center"/>
          </w:tcPr>
          <w:p>
            <w:pPr>
              <w:pStyle w:val="10"/>
            </w:pPr>
            <w:r>
              <w:t>年度资金计划按时完成率</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完成工作需要费用成本</w:t>
            </w:r>
          </w:p>
        </w:tc>
        <w:tc>
          <w:tcPr>
            <w:tcW w:w="2835" w:type="dxa"/>
            <w:vAlign w:val="center"/>
          </w:tcPr>
          <w:p>
            <w:pPr>
              <w:pStyle w:val="10"/>
            </w:pPr>
            <w:r>
              <w:t>完成工作需要费用成本</w:t>
            </w:r>
          </w:p>
        </w:tc>
        <w:tc>
          <w:tcPr>
            <w:tcW w:w="2551" w:type="dxa"/>
            <w:vAlign w:val="center"/>
          </w:tcPr>
          <w:p>
            <w:pPr>
              <w:pStyle w:val="10"/>
            </w:pPr>
            <w:r>
              <w:t>≤10万元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资金的使用效率</w:t>
            </w:r>
          </w:p>
        </w:tc>
        <w:tc>
          <w:tcPr>
            <w:tcW w:w="2835" w:type="dxa"/>
            <w:vAlign w:val="center"/>
          </w:tcPr>
          <w:p>
            <w:pPr>
              <w:pStyle w:val="10"/>
            </w:pPr>
            <w:r>
              <w:t>资金的使用效率</w:t>
            </w:r>
          </w:p>
        </w:tc>
        <w:tc>
          <w:tcPr>
            <w:tcW w:w="2551" w:type="dxa"/>
            <w:vAlign w:val="center"/>
          </w:tcPr>
          <w:p>
            <w:pPr>
              <w:pStyle w:val="10"/>
            </w:pPr>
            <w:r>
              <w:t>≥95%</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参与单位满意度</w:t>
            </w:r>
          </w:p>
        </w:tc>
        <w:tc>
          <w:tcPr>
            <w:tcW w:w="2835" w:type="dxa"/>
            <w:vAlign w:val="center"/>
          </w:tcPr>
          <w:p>
            <w:pPr>
              <w:pStyle w:val="10"/>
            </w:pPr>
            <w:r>
              <w:t>参与单位满意度</w:t>
            </w:r>
          </w:p>
        </w:tc>
        <w:tc>
          <w:tcPr>
            <w:tcW w:w="2551" w:type="dxa"/>
            <w:vAlign w:val="center"/>
          </w:tcPr>
          <w:p>
            <w:pPr>
              <w:pStyle w:val="10"/>
            </w:pPr>
            <w:r>
              <w:t>≥90%</w:t>
            </w:r>
          </w:p>
        </w:tc>
        <w:tc>
          <w:tcPr>
            <w:tcW w:w="2268" w:type="dxa"/>
            <w:vAlign w:val="center"/>
          </w:tcPr>
          <w:p>
            <w:pPr>
              <w:pStyle w:val="10"/>
            </w:pPr>
            <w:r>
              <w:t>行业标准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10、运转保障-提前下达中央纪检监察转移支付资金-检察办案绩效目标表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1.提升执法水平和办案质量，提升检察机关法律监督能力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完成数量</w:t>
            </w:r>
          </w:p>
        </w:tc>
        <w:tc>
          <w:tcPr>
            <w:tcW w:w="2835" w:type="dxa"/>
            <w:vAlign w:val="center"/>
          </w:tcPr>
          <w:p>
            <w:pPr>
              <w:pStyle w:val="10"/>
            </w:pPr>
            <w:r>
              <w:t>完成数量</w:t>
            </w:r>
          </w:p>
        </w:tc>
        <w:tc>
          <w:tcPr>
            <w:tcW w:w="2551" w:type="dxa"/>
            <w:vAlign w:val="center"/>
          </w:tcPr>
          <w:p>
            <w:pPr>
              <w:pStyle w:val="10"/>
            </w:pPr>
            <w:r>
              <w:t>2.13万元</w:t>
            </w:r>
          </w:p>
        </w:tc>
        <w:tc>
          <w:tcPr>
            <w:tcW w:w="2268" w:type="dxa"/>
            <w:vAlign w:val="center"/>
          </w:tcPr>
          <w:p>
            <w:pPr>
              <w:pStyle w:val="10"/>
            </w:pPr>
            <w:r>
              <w:t>行业标准</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各项综合业务管理工作完成率</w:t>
            </w:r>
          </w:p>
        </w:tc>
        <w:tc>
          <w:tcPr>
            <w:tcW w:w="2835" w:type="dxa"/>
            <w:vAlign w:val="center"/>
          </w:tcPr>
          <w:p>
            <w:pPr>
              <w:pStyle w:val="10"/>
            </w:pPr>
            <w:r>
              <w:t>综合业务工作任务完成情况占综合业务工作任务的比例</w:t>
            </w:r>
          </w:p>
        </w:tc>
        <w:tc>
          <w:tcPr>
            <w:tcW w:w="2551" w:type="dxa"/>
            <w:vAlign w:val="center"/>
          </w:tcPr>
          <w:p>
            <w:pPr>
              <w:pStyle w:val="10"/>
            </w:pPr>
            <w:r>
              <w:t>100%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资金支出率（%）</w:t>
            </w:r>
          </w:p>
        </w:tc>
        <w:tc>
          <w:tcPr>
            <w:tcW w:w="2835" w:type="dxa"/>
            <w:vAlign w:val="center"/>
          </w:tcPr>
          <w:p>
            <w:pPr>
              <w:pStyle w:val="10"/>
            </w:pPr>
            <w:r>
              <w:t>资金支出率（%）</w:t>
            </w:r>
          </w:p>
        </w:tc>
        <w:tc>
          <w:tcPr>
            <w:tcW w:w="2551" w:type="dxa"/>
            <w:vAlign w:val="center"/>
          </w:tcPr>
          <w:p>
            <w:pPr>
              <w:pStyle w:val="10"/>
            </w:pPr>
            <w:r>
              <w:t>≥95%</w:t>
            </w:r>
          </w:p>
        </w:tc>
        <w:tc>
          <w:tcPr>
            <w:tcW w:w="2268" w:type="dxa"/>
            <w:vAlign w:val="center"/>
          </w:tcPr>
          <w:p>
            <w:pPr>
              <w:pStyle w:val="10"/>
            </w:pPr>
            <w:r>
              <w:t>行业标准</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项目总成本</w:t>
            </w:r>
          </w:p>
        </w:tc>
        <w:tc>
          <w:tcPr>
            <w:tcW w:w="2835" w:type="dxa"/>
            <w:vAlign w:val="center"/>
          </w:tcPr>
          <w:p>
            <w:pPr>
              <w:pStyle w:val="10"/>
            </w:pPr>
            <w:r>
              <w:t>项目总预算控制额</w:t>
            </w:r>
          </w:p>
        </w:tc>
        <w:tc>
          <w:tcPr>
            <w:tcW w:w="2551" w:type="dxa"/>
            <w:vAlign w:val="center"/>
          </w:tcPr>
          <w:p>
            <w:pPr>
              <w:pStyle w:val="10"/>
            </w:pPr>
            <w:r>
              <w:t>2.13万元</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业务保障能力提升情况</w:t>
            </w:r>
          </w:p>
        </w:tc>
        <w:tc>
          <w:tcPr>
            <w:tcW w:w="2835" w:type="dxa"/>
            <w:vAlign w:val="center"/>
          </w:tcPr>
          <w:p>
            <w:pPr>
              <w:pStyle w:val="10"/>
            </w:pPr>
            <w:r>
              <w:t>业务保障能力提升情况</w:t>
            </w:r>
          </w:p>
        </w:tc>
        <w:tc>
          <w:tcPr>
            <w:tcW w:w="2551" w:type="dxa"/>
            <w:vAlign w:val="center"/>
          </w:tcPr>
          <w:p>
            <w:pPr>
              <w:pStyle w:val="10"/>
            </w:pPr>
            <w:r>
              <w:t>≥90%</w:t>
            </w:r>
          </w:p>
        </w:tc>
        <w:tc>
          <w:tcPr>
            <w:tcW w:w="2268"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满意率</w:t>
            </w:r>
          </w:p>
        </w:tc>
        <w:tc>
          <w:tcPr>
            <w:tcW w:w="2835" w:type="dxa"/>
            <w:vAlign w:val="center"/>
          </w:tcPr>
          <w:p>
            <w:pPr>
              <w:pStyle w:val="10"/>
            </w:pPr>
            <w:r>
              <w:t>满意率</w:t>
            </w:r>
          </w:p>
        </w:tc>
        <w:tc>
          <w:tcPr>
            <w:tcW w:w="2551" w:type="dxa"/>
            <w:vAlign w:val="center"/>
          </w:tcPr>
          <w:p>
            <w:pPr>
              <w:pStyle w:val="10"/>
            </w:pPr>
            <w:r>
              <w:t>≥90%</w:t>
            </w:r>
          </w:p>
          <w:p>
            <w:pPr>
              <w:pStyle w:val="10"/>
            </w:pPr>
          </w:p>
        </w:tc>
        <w:tc>
          <w:tcPr>
            <w:tcW w:w="2268" w:type="dxa"/>
            <w:vAlign w:val="center"/>
          </w:tcPr>
          <w:p>
            <w:pPr>
              <w:pStyle w:val="10"/>
            </w:pPr>
            <w:r>
              <w:t>行业标准</w:t>
            </w:r>
          </w:p>
          <w:p>
            <w:pPr>
              <w:pStyle w:val="10"/>
            </w:pP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2023年，深州市人民检察院安排政府采购预算30.00万元。具体内容见下表。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151深州市人民检察院</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30.00</w:t>
            </w:r>
          </w:p>
        </w:tc>
        <w:tc>
          <w:tcPr>
            <w:tcW w:w="964" w:type="dxa"/>
            <w:vAlign w:val="center"/>
          </w:tcPr>
          <w:p>
            <w:pPr>
              <w:pStyle w:val="13"/>
            </w:pPr>
            <w:r>
              <w:t>30.00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深州市人民检察院本级小计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30.00</w:t>
            </w:r>
          </w:p>
        </w:tc>
        <w:tc>
          <w:tcPr>
            <w:tcW w:w="964" w:type="dxa"/>
            <w:vAlign w:val="center"/>
          </w:tcPr>
          <w:p>
            <w:pPr>
              <w:pStyle w:val="13"/>
            </w:pPr>
            <w:r>
              <w:t>30.00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提前下达中央政法纪检监察转移支付资金-检察装备</w:t>
            </w:r>
          </w:p>
        </w:tc>
        <w:tc>
          <w:tcPr>
            <w:tcW w:w="964" w:type="dxa"/>
            <w:vAlign w:val="center"/>
          </w:tcPr>
          <w:p>
            <w:pPr>
              <w:pStyle w:val="9"/>
            </w:pPr>
            <w:r>
              <w:t>35.45</w:t>
            </w:r>
          </w:p>
        </w:tc>
        <w:tc>
          <w:tcPr>
            <w:tcW w:w="1134" w:type="dxa"/>
            <w:vAlign w:val="center"/>
          </w:tcPr>
          <w:p>
            <w:pPr>
              <w:pStyle w:val="10"/>
            </w:pPr>
            <w:r>
              <w:t>软件运维服务</w:t>
            </w:r>
          </w:p>
        </w:tc>
        <w:tc>
          <w:tcPr>
            <w:tcW w:w="1134" w:type="dxa"/>
            <w:vAlign w:val="center"/>
          </w:tcPr>
          <w:p>
            <w:pPr>
              <w:pStyle w:val="10"/>
            </w:pPr>
            <w:r>
              <w:t>C16070300</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深州市人民检察院（含所属单位）上年末固定资产金额为4041.13万元（详见下表）。本年度拟购置固定资产总额为30.00万元，已按要求列入政府采购预算，详见政府采购预算表。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151深州市人民检察院</w:t>
            </w:r>
          </w:p>
        </w:tc>
        <w:tc>
          <w:tcPr>
            <w:tcW w:w="5669" w:type="dxa"/>
            <w:gridSpan w:val="2"/>
            <w:tcBorders>
              <w:top w:val="single" w:color="FFFFFF" w:sz="6" w:space="0"/>
              <w:left w:val="single" w:color="FFFFFF" w:sz="6" w:space="0"/>
              <w:right w:val="single" w:color="FFFFFF" w:sz="6" w:space="0"/>
            </w:tcBorders>
            <w:vAlign w:val="center"/>
          </w:tcPr>
          <w:p>
            <w:pPr>
              <w:pStyle w:val="5"/>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4041.13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r>
              <w:t>7638.74</w:t>
            </w:r>
          </w:p>
        </w:tc>
        <w:tc>
          <w:tcPr>
            <w:tcW w:w="2835" w:type="dxa"/>
            <w:vAlign w:val="center"/>
          </w:tcPr>
          <w:p>
            <w:pPr>
              <w:pStyle w:val="9"/>
            </w:pPr>
            <w:r>
              <w:t>2110.84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1206</w:t>
            </w:r>
          </w:p>
        </w:tc>
        <w:tc>
          <w:tcPr>
            <w:tcW w:w="2835" w:type="dxa"/>
            <w:vAlign w:val="center"/>
          </w:tcPr>
          <w:p>
            <w:pPr>
              <w:pStyle w:val="9"/>
            </w:pPr>
            <w:r>
              <w:t>311.15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9</w:t>
            </w:r>
          </w:p>
        </w:tc>
        <w:tc>
          <w:tcPr>
            <w:tcW w:w="2835" w:type="dxa"/>
            <w:vAlign w:val="center"/>
          </w:tcPr>
          <w:p>
            <w:pPr>
              <w:pStyle w:val="9"/>
            </w:pPr>
            <w:r>
              <w:t>151.95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12</w:t>
            </w:r>
          </w:p>
        </w:tc>
        <w:tc>
          <w:tcPr>
            <w:tcW w:w="2835" w:type="dxa"/>
            <w:vAlign w:val="center"/>
          </w:tcPr>
          <w:p>
            <w:pPr>
              <w:pStyle w:val="9"/>
            </w:pPr>
            <w:r>
              <w:t>586.00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3141</w:t>
            </w:r>
          </w:p>
        </w:tc>
        <w:tc>
          <w:tcPr>
            <w:tcW w:w="2835" w:type="dxa"/>
            <w:vAlign w:val="center"/>
          </w:tcPr>
          <w:p>
            <w:pPr>
              <w:pStyle w:val="9"/>
            </w:pPr>
            <w:r>
              <w:t>1192.34</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w:t>
      </w:r>
      <w:bookmarkStart w:id="18" w:name="_GoBack"/>
      <w:bookmarkEnd w:id="18"/>
      <w:r>
        <w:rPr>
          <w:rFonts w:eastAsia="方正仿宋_GBK"/>
          <w:color w:val="000000"/>
          <w:sz w:val="28"/>
        </w:rPr>
        <w:t>（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A0654"/>
    <w:rsid w:val="000159A9"/>
    <w:rsid w:val="00303427"/>
    <w:rsid w:val="00354010"/>
    <w:rsid w:val="003A0654"/>
    <w:rsid w:val="009600CD"/>
    <w:rsid w:val="009A70CF"/>
    <w:rsid w:val="00E4035B"/>
    <w:rsid w:val="00F8489A"/>
    <w:rsid w:val="00FB4A78"/>
    <w:rsid w:val="30304CFD"/>
    <w:rsid w:val="40957ECE"/>
    <w:rsid w:val="5A8B1942"/>
    <w:rsid w:val="7A79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插入文本样式-插入单位职责文件"/>
    <w:basedOn w:val="1"/>
    <w:qFormat/>
    <w:uiPriority w:val="0"/>
    <w:pPr>
      <w:spacing w:line="500" w:lineRule="exact"/>
      <w:ind w:firstLine="560"/>
    </w:pPr>
    <w:rPr>
      <w:rFonts w:eastAsia="方正仿宋_GBK"/>
      <w:sz w:val="28"/>
    </w:rPr>
  </w:style>
  <w:style w:type="paragraph" w:customStyle="1" w:styleId="2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7" Type="http://schemas.openxmlformats.org/officeDocument/2006/relationships/fontTable" Target="fontTable.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2023-02-22T09:28:04Z</dcterms:created>
  <dcterms:modified xsi:type="dcterms:W3CDTF">2023-02-22T01:28:04Z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2023-02-22T09:28:04Z</dcterms:created>
  <dcterms:modified xsi:type="dcterms:W3CDTF">2023-02-22T01:28:04Z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2023-02-22T09:28:03Z</dcterms:created>
  <dcterms:modified xsi:type="dcterms:W3CDTF">2023-02-22T01:28:03Z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2023-02-22T09:27:59Z</dcterms:created>
  <dcterms:modified xsi:type="dcterms:W3CDTF">2023-02-22T01:27:59Z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2023-02-22T09:27:59Z</dcterms:created>
  <dcterms:modified xsi:type="dcterms:W3CDTF">2023-02-22T01:27:59Z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2023-02-22T09:27:59Z</dcterms:created>
  <dcterms:modified xsi:type="dcterms:W3CDTF">2023-02-22T01:27:59Z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2023-02-22T09:27:59Z</dcterms:created>
  <dcterms:modified xsi:type="dcterms:W3CDTF">2023-02-22T01:27:59Z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2023-02-22T09:27:57Z</dcterms:created>
  <dcterms:modified xsi:type="dcterms:W3CDTF">2023-02-22T01:27:56Z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2023-02-22T09:27:58Z</dcterms:created>
  <dcterms:modified xsi:type="dcterms:W3CDTF">2023-02-22T01:27:58Z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2023-02-22T09:28:05Z</dcterms:created>
  <dcterms:modified xsi:type="dcterms:W3CDTF">2023-02-22T01:28:05Z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2023-02-22T09:28:04Z</dcterms:created>
  <dcterms:modified xsi:type="dcterms:W3CDTF">2023-02-22T01:28:04Z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2023-02-22T09:28:06Z</dcterms:created>
  <dcterms:modified xsi:type="dcterms:W3CDTF">2023-02-22T01:28:06Z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2023-02-22T09:28:00Z</dcterms:created>
  <dcterms:modified xsi:type="dcterms:W3CDTF">2023-02-22T01:28:00Z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394EE86-20D7-4753-AA75-FDFBC2EA84A3}">
  <ds:schemaRefs/>
</ds:datastoreItem>
</file>

<file path=customXml/itemProps11.xml><?xml version="1.0" encoding="utf-8"?>
<ds:datastoreItem xmlns:ds="http://schemas.openxmlformats.org/officeDocument/2006/customXml" ds:itemID="{453BD9C4-53A0-4509-8488-BE2634993B97}">
  <ds:schemaRefs/>
</ds:datastoreItem>
</file>

<file path=customXml/itemProps12.xml><?xml version="1.0" encoding="utf-8"?>
<ds:datastoreItem xmlns:ds="http://schemas.openxmlformats.org/officeDocument/2006/customXml" ds:itemID="{D12E726C-D583-4EED-889E-9702346B0A32}">
  <ds:schemaRefs/>
</ds:datastoreItem>
</file>

<file path=customXml/itemProps13.xml><?xml version="1.0" encoding="utf-8"?>
<ds:datastoreItem xmlns:ds="http://schemas.openxmlformats.org/officeDocument/2006/customXml" ds:itemID="{EF81CA5D-7E33-4587-8E9E-B86967596FFD}">
  <ds:schemaRefs/>
</ds:datastoreItem>
</file>

<file path=customXml/itemProps14.xml><?xml version="1.0" encoding="utf-8"?>
<ds:datastoreItem xmlns:ds="http://schemas.openxmlformats.org/officeDocument/2006/customXml" ds:itemID="{687C33A7-7936-47D8-8DAA-9C8E5A0E4845}">
  <ds:schemaRefs/>
</ds:datastoreItem>
</file>

<file path=customXml/itemProps15.xml><?xml version="1.0" encoding="utf-8"?>
<ds:datastoreItem xmlns:ds="http://schemas.openxmlformats.org/officeDocument/2006/customXml" ds:itemID="{42B081EF-76E0-4B48-8F7E-CD167EEA1333}">
  <ds:schemaRefs/>
</ds:datastoreItem>
</file>

<file path=customXml/itemProps16.xml><?xml version="1.0" encoding="utf-8"?>
<ds:datastoreItem xmlns:ds="http://schemas.openxmlformats.org/officeDocument/2006/customXml" ds:itemID="{94F9D953-AC87-4880-848A-70FD9F606F16}">
  <ds:schemaRefs/>
</ds:datastoreItem>
</file>

<file path=customXml/itemProps17.xml><?xml version="1.0" encoding="utf-8"?>
<ds:datastoreItem xmlns:ds="http://schemas.openxmlformats.org/officeDocument/2006/customXml" ds:itemID="{E4963D5B-CC27-4EEF-B99A-8C496B23CF26}">
  <ds:schemaRefs/>
</ds:datastoreItem>
</file>

<file path=customXml/itemProps18.xml><?xml version="1.0" encoding="utf-8"?>
<ds:datastoreItem xmlns:ds="http://schemas.openxmlformats.org/officeDocument/2006/customXml" ds:itemID="{DC5F2F7D-9C23-4718-8D6E-D6685FC55B88}">
  <ds:schemaRefs/>
</ds:datastoreItem>
</file>

<file path=customXml/itemProps19.xml><?xml version="1.0" encoding="utf-8"?>
<ds:datastoreItem xmlns:ds="http://schemas.openxmlformats.org/officeDocument/2006/customXml" ds:itemID="{A7F749B7-884B-4A0B-855E-4D0DC9396BE3}">
  <ds:schemaRefs/>
</ds:datastoreItem>
</file>

<file path=customXml/itemProps2.xml><?xml version="1.0" encoding="utf-8"?>
<ds:datastoreItem xmlns:ds="http://schemas.openxmlformats.org/officeDocument/2006/customXml" ds:itemID="{C5BD563C-E2EF-4496-AE3E-895065A04A3D}">
  <ds:schemaRefs/>
</ds:datastoreItem>
</file>

<file path=customXml/itemProps20.xml><?xml version="1.0" encoding="utf-8"?>
<ds:datastoreItem xmlns:ds="http://schemas.openxmlformats.org/officeDocument/2006/customXml" ds:itemID="{DB895556-BF90-4F6F-A4D9-6FFC302397BF}">
  <ds:schemaRefs/>
</ds:datastoreItem>
</file>

<file path=customXml/itemProps21.xml><?xml version="1.0" encoding="utf-8"?>
<ds:datastoreItem xmlns:ds="http://schemas.openxmlformats.org/officeDocument/2006/customXml" ds:itemID="{1C10DE0C-281A-40F1-9091-343552E8615C}">
  <ds:schemaRefs/>
</ds:datastoreItem>
</file>

<file path=customXml/itemProps22.xml><?xml version="1.0" encoding="utf-8"?>
<ds:datastoreItem xmlns:ds="http://schemas.openxmlformats.org/officeDocument/2006/customXml" ds:itemID="{4E992D1D-7BC4-4729-88D1-0689A5514A09}">
  <ds:schemaRefs/>
</ds:datastoreItem>
</file>

<file path=customXml/itemProps23.xml><?xml version="1.0" encoding="utf-8"?>
<ds:datastoreItem xmlns:ds="http://schemas.openxmlformats.org/officeDocument/2006/customXml" ds:itemID="{F2D7DE84-CF80-497C-9FA6-500BF9F8755A}">
  <ds:schemaRefs/>
</ds:datastoreItem>
</file>

<file path=customXml/itemProps24.xml><?xml version="1.0" encoding="utf-8"?>
<ds:datastoreItem xmlns:ds="http://schemas.openxmlformats.org/officeDocument/2006/customXml" ds:itemID="{64F1CCE0-5931-434C-9DD8-60BDE603FF4B}">
  <ds:schemaRefs/>
</ds:datastoreItem>
</file>

<file path=customXml/itemProps25.xml><?xml version="1.0" encoding="utf-8"?>
<ds:datastoreItem xmlns:ds="http://schemas.openxmlformats.org/officeDocument/2006/customXml" ds:itemID="{CCE2354A-183E-4096-A5CD-06FDCE058208}">
  <ds:schemaRefs/>
</ds:datastoreItem>
</file>

<file path=customXml/itemProps26.xml><?xml version="1.0" encoding="utf-8"?>
<ds:datastoreItem xmlns:ds="http://schemas.openxmlformats.org/officeDocument/2006/customXml" ds:itemID="{4E56F768-A377-4A8B-B6DF-AA6440C89F74}">
  <ds:schemaRefs/>
</ds:datastoreItem>
</file>

<file path=customXml/itemProps27.xml><?xml version="1.0" encoding="utf-8"?>
<ds:datastoreItem xmlns:ds="http://schemas.openxmlformats.org/officeDocument/2006/customXml" ds:itemID="{2E38FF46-3D27-48C6-B162-86A3042AB920}">
  <ds:schemaRefs/>
</ds:datastoreItem>
</file>

<file path=customXml/itemProps28.xml><?xml version="1.0" encoding="utf-8"?>
<ds:datastoreItem xmlns:ds="http://schemas.openxmlformats.org/officeDocument/2006/customXml" ds:itemID="{4BE95AD4-EC8B-442C-B9BD-7D52FB9817F6}">
  <ds:schemaRefs/>
</ds:datastoreItem>
</file>

<file path=customXml/itemProps29.xml><?xml version="1.0" encoding="utf-8"?>
<ds:datastoreItem xmlns:ds="http://schemas.openxmlformats.org/officeDocument/2006/customXml" ds:itemID="{71E63F36-177C-4379-8ECF-A7BE1C8BE9F0}">
  <ds:schemaRefs/>
</ds:datastoreItem>
</file>

<file path=customXml/itemProps3.xml><?xml version="1.0" encoding="utf-8"?>
<ds:datastoreItem xmlns:ds="http://schemas.openxmlformats.org/officeDocument/2006/customXml" ds:itemID="{F0789774-B456-497C-A7A2-82040571C197}">
  <ds:schemaRefs/>
</ds:datastoreItem>
</file>

<file path=customXml/itemProps30.xml><?xml version="1.0" encoding="utf-8"?>
<ds:datastoreItem xmlns:ds="http://schemas.openxmlformats.org/officeDocument/2006/customXml" ds:itemID="{CBF81FEC-6AE5-42B0-9080-35993FFB9557}">
  <ds:schemaRefs/>
</ds:datastoreItem>
</file>

<file path=customXml/itemProps31.xml><?xml version="1.0" encoding="utf-8"?>
<ds:datastoreItem xmlns:ds="http://schemas.openxmlformats.org/officeDocument/2006/customXml" ds:itemID="{23E1FF9B-46A1-4A14-A55C-944581788A30}">
  <ds:schemaRefs/>
</ds:datastoreItem>
</file>

<file path=customXml/itemProps32.xml><?xml version="1.0" encoding="utf-8"?>
<ds:datastoreItem xmlns:ds="http://schemas.openxmlformats.org/officeDocument/2006/customXml" ds:itemID="{6D20FA4A-447F-486A-BA95-5A9919B73834}">
  <ds:schemaRefs/>
</ds:datastoreItem>
</file>

<file path=customXml/itemProps33.xml><?xml version="1.0" encoding="utf-8"?>
<ds:datastoreItem xmlns:ds="http://schemas.openxmlformats.org/officeDocument/2006/customXml" ds:itemID="{39AE80A5-3923-4ABE-B988-699ACE73751C}">
  <ds:schemaRefs/>
</ds:datastoreItem>
</file>

<file path=customXml/itemProps34.xml><?xml version="1.0" encoding="utf-8"?>
<ds:datastoreItem xmlns:ds="http://schemas.openxmlformats.org/officeDocument/2006/customXml" ds:itemID="{86506669-B1A5-4BD2-921E-90F443DDCEB9}">
  <ds:schemaRefs/>
</ds:datastoreItem>
</file>

<file path=customXml/itemProps35.xml><?xml version="1.0" encoding="utf-8"?>
<ds:datastoreItem xmlns:ds="http://schemas.openxmlformats.org/officeDocument/2006/customXml" ds:itemID="{942B969C-5F40-4A0E-B5A7-A1F40A069F24}">
  <ds:schemaRefs/>
</ds:datastoreItem>
</file>

<file path=customXml/itemProps36.xml><?xml version="1.0" encoding="utf-8"?>
<ds:datastoreItem xmlns:ds="http://schemas.openxmlformats.org/officeDocument/2006/customXml" ds:itemID="{F9DB9EB3-9D54-4487-AFB9-241D7518CC24}">
  <ds:schemaRefs/>
</ds:datastoreItem>
</file>

<file path=customXml/itemProps37.xml><?xml version="1.0" encoding="utf-8"?>
<ds:datastoreItem xmlns:ds="http://schemas.openxmlformats.org/officeDocument/2006/customXml" ds:itemID="{CFE51043-E002-49F9-B0A8-0C43E3E48EBD}">
  <ds:schemaRefs/>
</ds:datastoreItem>
</file>

<file path=customXml/itemProps38.xml><?xml version="1.0" encoding="utf-8"?>
<ds:datastoreItem xmlns:ds="http://schemas.openxmlformats.org/officeDocument/2006/customXml" ds:itemID="{21EA191F-38DE-4D90-B754-E436FBBE43E6}">
  <ds:schemaRefs/>
</ds:datastoreItem>
</file>

<file path=customXml/itemProps39.xml><?xml version="1.0" encoding="utf-8"?>
<ds:datastoreItem xmlns:ds="http://schemas.openxmlformats.org/officeDocument/2006/customXml" ds:itemID="{DF9864D3-1490-4B4E-876A-07788B0C945F}">
  <ds:schemaRefs/>
</ds:datastoreItem>
</file>

<file path=customXml/itemProps4.xml><?xml version="1.0" encoding="utf-8"?>
<ds:datastoreItem xmlns:ds="http://schemas.openxmlformats.org/officeDocument/2006/customXml" ds:itemID="{95808062-522D-4EE8-985C-CA6296DAEB2E}">
  <ds:schemaRefs/>
</ds:datastoreItem>
</file>

<file path=customXml/itemProps40.xml><?xml version="1.0" encoding="utf-8"?>
<ds:datastoreItem xmlns:ds="http://schemas.openxmlformats.org/officeDocument/2006/customXml" ds:itemID="{637D221D-6894-45FD-BBEE-906D6C4FBD5C}">
  <ds:schemaRefs/>
</ds:datastoreItem>
</file>

<file path=customXml/itemProps41.xml><?xml version="1.0" encoding="utf-8"?>
<ds:datastoreItem xmlns:ds="http://schemas.openxmlformats.org/officeDocument/2006/customXml" ds:itemID="{23B6435D-7BCA-49B1-83A5-6A7EECFEDB09}">
  <ds:schemaRefs/>
</ds:datastoreItem>
</file>

<file path=customXml/itemProps42.xml><?xml version="1.0" encoding="utf-8"?>
<ds:datastoreItem xmlns:ds="http://schemas.openxmlformats.org/officeDocument/2006/customXml" ds:itemID="{A7DB8490-825C-4897-993A-D08BE3D8CB96}">
  <ds:schemaRefs/>
</ds:datastoreItem>
</file>

<file path=customXml/itemProps43.xml><?xml version="1.0" encoding="utf-8"?>
<ds:datastoreItem xmlns:ds="http://schemas.openxmlformats.org/officeDocument/2006/customXml" ds:itemID="{86074CBC-1DC4-4955-87BA-1BFF7AFA5562}">
  <ds:schemaRefs/>
</ds:datastoreItem>
</file>

<file path=customXml/itemProps44.xml><?xml version="1.0" encoding="utf-8"?>
<ds:datastoreItem xmlns:ds="http://schemas.openxmlformats.org/officeDocument/2006/customXml" ds:itemID="{BE2CAE84-F038-49A3-B0FB-E7600C72B508}">
  <ds:schemaRefs/>
</ds:datastoreItem>
</file>

<file path=customXml/itemProps45.xml><?xml version="1.0" encoding="utf-8"?>
<ds:datastoreItem xmlns:ds="http://schemas.openxmlformats.org/officeDocument/2006/customXml" ds:itemID="{8C867EF9-7AD2-4B86-A786-80CD187D6FC2}">
  <ds:schemaRefs/>
</ds:datastoreItem>
</file>

<file path=customXml/itemProps46.xml><?xml version="1.0" encoding="utf-8"?>
<ds:datastoreItem xmlns:ds="http://schemas.openxmlformats.org/officeDocument/2006/customXml" ds:itemID="{77FBDCD8-918C-435F-96F8-39DB036635C3}">
  <ds:schemaRefs/>
</ds:datastoreItem>
</file>

<file path=customXml/itemProps47.xml><?xml version="1.0" encoding="utf-8"?>
<ds:datastoreItem xmlns:ds="http://schemas.openxmlformats.org/officeDocument/2006/customXml" ds:itemID="{FAA39180-81BD-43FD-9631-0E80EC1C1A87}">
  <ds:schemaRefs/>
</ds:datastoreItem>
</file>

<file path=customXml/itemProps48.xml><?xml version="1.0" encoding="utf-8"?>
<ds:datastoreItem xmlns:ds="http://schemas.openxmlformats.org/officeDocument/2006/customXml" ds:itemID="{6EE12B07-E04B-43B7-A2D5-8A0006891820}">
  <ds:schemaRefs/>
</ds:datastoreItem>
</file>

<file path=customXml/itemProps49.xml><?xml version="1.0" encoding="utf-8"?>
<ds:datastoreItem xmlns:ds="http://schemas.openxmlformats.org/officeDocument/2006/customXml" ds:itemID="{11B1602B-8A6E-43D8-B6E9-DE5A7A066129}">
  <ds:schemaRefs/>
</ds:datastoreItem>
</file>

<file path=customXml/itemProps5.xml><?xml version="1.0" encoding="utf-8"?>
<ds:datastoreItem xmlns:ds="http://schemas.openxmlformats.org/officeDocument/2006/customXml" ds:itemID="{73688224-BBFD-4F9C-ACDE-C879BC0580EC}">
  <ds:schemaRefs/>
</ds:datastoreItem>
</file>

<file path=customXml/itemProps50.xml><?xml version="1.0" encoding="utf-8"?>
<ds:datastoreItem xmlns:ds="http://schemas.openxmlformats.org/officeDocument/2006/customXml" ds:itemID="{F2AEDD96-02C8-4071-830F-E02554085C47}">
  <ds:schemaRefs/>
</ds:datastoreItem>
</file>

<file path=customXml/itemProps51.xml><?xml version="1.0" encoding="utf-8"?>
<ds:datastoreItem xmlns:ds="http://schemas.openxmlformats.org/officeDocument/2006/customXml" ds:itemID="{F4961703-02F5-4149-910D-CDCC0C53637D}">
  <ds:schemaRefs/>
</ds:datastoreItem>
</file>

<file path=customXml/itemProps6.xml><?xml version="1.0" encoding="utf-8"?>
<ds:datastoreItem xmlns:ds="http://schemas.openxmlformats.org/officeDocument/2006/customXml" ds:itemID="{2297AFF5-141C-4EFD-AAA4-33D664146E65}">
  <ds:schemaRefs/>
</ds:datastoreItem>
</file>

<file path=customXml/itemProps7.xml><?xml version="1.0" encoding="utf-8"?>
<ds:datastoreItem xmlns:ds="http://schemas.openxmlformats.org/officeDocument/2006/customXml" ds:itemID="{45F3CAB7-BEBC-4CDA-B42B-3FDB96581E73}">
  <ds:schemaRefs/>
</ds:datastoreItem>
</file>

<file path=customXml/itemProps8.xml><?xml version="1.0" encoding="utf-8"?>
<ds:datastoreItem xmlns:ds="http://schemas.openxmlformats.org/officeDocument/2006/customXml" ds:itemID="{31F4C8EA-D08B-4F7C-8AFD-0A207FD3D9CD}">
  <ds:schemaRefs/>
</ds:datastoreItem>
</file>

<file path=customXml/itemProps9.xml><?xml version="1.0" encoding="utf-8"?>
<ds:datastoreItem xmlns:ds="http://schemas.openxmlformats.org/officeDocument/2006/customXml" ds:itemID="{7846D13B-FB28-4B3F-9D0C-EF80CC939552}">
  <ds:schemaRefs/>
</ds:datastoreItem>
</file>

<file path=docProps/app.xml><?xml version="1.0" encoding="utf-8"?>
<Properties xmlns="http://schemas.openxmlformats.org/officeDocument/2006/extended-properties" xmlns:vt="http://schemas.openxmlformats.org/officeDocument/2006/docPropsVTypes">
  <Template>Normal</Template>
  <Pages>39</Pages>
  <Words>2423</Words>
  <Characters>13812</Characters>
  <Lines>115</Lines>
  <Paragraphs>32</Paragraphs>
  <TotalTime>9</TotalTime>
  <ScaleCrop>false</ScaleCrop>
  <LinksUpToDate>false</LinksUpToDate>
  <CharactersWithSpaces>16203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Lenovo</dc:creator>
  <cp:lastModifiedBy>Lenovo</cp:lastModifiedBy>
  <dcterms:modified xsi:type="dcterms:W3CDTF">2023-02-23T04:00:06Z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